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D40" w:rsidRPr="004D7D40" w:rsidRDefault="004D7D40" w:rsidP="004D7D40">
      <w:pPr>
        <w:pStyle w:val="1"/>
        <w:jc w:val="center"/>
        <w:rPr>
          <w:sz w:val="28"/>
          <w:szCs w:val="28"/>
        </w:rPr>
      </w:pPr>
      <w:r w:rsidRPr="004D7D40">
        <w:rPr>
          <w:sz w:val="28"/>
          <w:szCs w:val="28"/>
        </w:rPr>
        <w:t>Неправомерные переводы в НПФ могут быть устранены</w:t>
      </w:r>
    </w:p>
    <w:p w:rsidR="00D71727" w:rsidRDefault="00D71727" w:rsidP="00D71727">
      <w:pPr>
        <w:rPr>
          <w:rFonts w:ascii="Times New Roman" w:hAnsi="Times New Roman"/>
          <w:sz w:val="24"/>
          <w:szCs w:val="24"/>
        </w:rPr>
      </w:pPr>
    </w:p>
    <w:p w:rsidR="00D71727" w:rsidRPr="0008236F" w:rsidRDefault="002B6F82" w:rsidP="0008236F">
      <w:pPr>
        <w:pStyle w:val="ad"/>
        <w:numPr>
          <w:ilvl w:val="0"/>
          <w:numId w:val="33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D71727" w:rsidRPr="0008236F">
        <w:rPr>
          <w:rFonts w:ascii="Times New Roman" w:eastAsia="Times New Roman" w:hAnsi="Times New Roman"/>
          <w:sz w:val="24"/>
          <w:szCs w:val="24"/>
          <w:lang w:eastAsia="ru-RU"/>
        </w:rPr>
        <w:t>преля 2021 г.</w:t>
      </w:r>
    </w:p>
    <w:p w:rsidR="0008236F" w:rsidRDefault="00D71727" w:rsidP="000823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D7D40">
        <w:rPr>
          <w:rFonts w:ascii="Times New Roman" w:hAnsi="Times New Roman"/>
          <w:b/>
          <w:sz w:val="24"/>
          <w:szCs w:val="24"/>
        </w:rPr>
        <w:t>ГУ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D7D40">
        <w:rPr>
          <w:rFonts w:ascii="Times New Roman" w:hAnsi="Times New Roman"/>
          <w:b/>
          <w:sz w:val="24"/>
          <w:szCs w:val="24"/>
        </w:rPr>
        <w:t>- Главное управление ПФР № 9 по г. Москве и Московской области</w:t>
      </w:r>
      <w:r>
        <w:rPr>
          <w:rFonts w:ascii="Times New Roman" w:hAnsi="Times New Roman"/>
          <w:sz w:val="24"/>
          <w:szCs w:val="24"/>
        </w:rPr>
        <w:t xml:space="preserve"> доводит до сведения граждан</w:t>
      </w:r>
      <w:r w:rsidR="00FA70CD">
        <w:rPr>
          <w:rFonts w:ascii="Times New Roman" w:hAnsi="Times New Roman"/>
          <w:sz w:val="24"/>
          <w:szCs w:val="24"/>
        </w:rPr>
        <w:t xml:space="preserve">, что </w:t>
      </w:r>
      <w:r w:rsidRPr="00D71727">
        <w:rPr>
          <w:rFonts w:ascii="Times New Roman" w:hAnsi="Times New Roman"/>
          <w:sz w:val="24"/>
          <w:szCs w:val="24"/>
        </w:rPr>
        <w:t xml:space="preserve"> 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застрахован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ные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право установить запрет на рассмо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рение заявления о переходе (о досрочном переходе) от одного страховщика к другому, поданного любыми иными способами подачи, отличными от подачи указанных зая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лений в территориальный орган Пенсионного фонда РФ застрахованным лицом лично.</w:t>
      </w:r>
      <w:proofErr w:type="gramEnd"/>
      <w:r w:rsidR="00FA70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В н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стоящее время смена страховщика по обязательному пенсионному страхованию  осущес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вляется на основании заявлений застрахованных лиц о переходе (досрочном переходе) от одного страховщика к другому (в Пенсионный фонд РФ или в негосударственный пенс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онный фонд), поданных следующими способами:</w:t>
      </w:r>
    </w:p>
    <w:p w:rsidR="0008236F" w:rsidRPr="004C1C28" w:rsidRDefault="001E7CAF" w:rsidP="000823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23495</wp:posOffset>
            </wp:positionV>
            <wp:extent cx="3390900" cy="2246630"/>
            <wp:effectExtent l="19050" t="0" r="0" b="0"/>
            <wp:wrapTight wrapText="bothSides">
              <wp:wrapPolygon edited="0">
                <wp:start x="-121" y="0"/>
                <wp:lineTo x="-121" y="21429"/>
                <wp:lineTo x="21600" y="21429"/>
                <wp:lineTo x="21600" y="0"/>
                <wp:lineTo x="-121" y="0"/>
              </wp:wrapPolygon>
            </wp:wrapTight>
            <wp:docPr id="6" name="Рисунок 6" descr="https://pfr.gov.ru/files/branches/voronezh/logo/logo_ru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fr.gov.ru/files/branches/voronezh/logo/logo_ruk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4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236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236F" w:rsidRPr="004C1C28">
        <w:rPr>
          <w:rFonts w:ascii="Times New Roman" w:eastAsia="Times New Roman" w:hAnsi="Times New Roman"/>
          <w:sz w:val="24"/>
          <w:szCs w:val="24"/>
          <w:lang w:eastAsia="ru-RU"/>
        </w:rPr>
        <w:t>лично через клиентскую службу ПФР;</w:t>
      </w:r>
    </w:p>
    <w:p w:rsidR="00875965" w:rsidRPr="0008236F" w:rsidRDefault="0008236F" w:rsidP="000823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через Интернет – на Едином по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тале 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государственных услуг (</w:t>
      </w:r>
      <w:proofErr w:type="spellStart"/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www.gosuslugi.ru</w:t>
      </w:r>
      <w:proofErr w:type="spellEnd"/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).   В этом случае электронное заявление должно быть подписано усиленной квалифицир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ванной электронной подписью з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C1C28">
        <w:rPr>
          <w:rFonts w:ascii="Times New Roman" w:eastAsia="Times New Roman" w:hAnsi="Times New Roman"/>
          <w:sz w:val="24"/>
          <w:szCs w:val="24"/>
          <w:lang w:eastAsia="ru-RU"/>
        </w:rPr>
        <w:t>страхованного лица.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1727" w:rsidRPr="004D7D40">
        <w:rPr>
          <w:rFonts w:ascii="Times New Roman" w:hAnsi="Times New Roman"/>
          <w:sz w:val="24"/>
          <w:szCs w:val="24"/>
        </w:rPr>
        <w:t>Для предо</w:t>
      </w:r>
      <w:r w:rsidR="00D71727" w:rsidRPr="004D7D40">
        <w:rPr>
          <w:rFonts w:ascii="Times New Roman" w:hAnsi="Times New Roman"/>
          <w:sz w:val="24"/>
          <w:szCs w:val="24"/>
        </w:rPr>
        <w:t>т</w:t>
      </w:r>
      <w:r w:rsidR="00D71727" w:rsidRPr="004D7D40">
        <w:rPr>
          <w:rFonts w:ascii="Times New Roman" w:hAnsi="Times New Roman"/>
          <w:sz w:val="24"/>
          <w:szCs w:val="24"/>
        </w:rPr>
        <w:t>вращения случаев неправомерного перевода средств пенсионных нак</w:t>
      </w:r>
      <w:r w:rsidR="00D71727" w:rsidRPr="004D7D40">
        <w:rPr>
          <w:rFonts w:ascii="Times New Roman" w:hAnsi="Times New Roman"/>
          <w:sz w:val="24"/>
          <w:szCs w:val="24"/>
        </w:rPr>
        <w:t>о</w:t>
      </w:r>
      <w:r w:rsidR="00D71727" w:rsidRPr="004D7D40">
        <w:rPr>
          <w:rFonts w:ascii="Times New Roman" w:hAnsi="Times New Roman"/>
          <w:sz w:val="24"/>
          <w:szCs w:val="24"/>
        </w:rPr>
        <w:t>плений в нег</w:t>
      </w:r>
      <w:r w:rsidR="00D71727">
        <w:rPr>
          <w:rFonts w:ascii="Times New Roman" w:hAnsi="Times New Roman"/>
          <w:sz w:val="24"/>
          <w:szCs w:val="24"/>
        </w:rPr>
        <w:t>осударственные пенс</w:t>
      </w:r>
      <w:r w:rsidR="00D71727">
        <w:rPr>
          <w:rFonts w:ascii="Times New Roman" w:hAnsi="Times New Roman"/>
          <w:sz w:val="24"/>
          <w:szCs w:val="24"/>
        </w:rPr>
        <w:t>и</w:t>
      </w:r>
      <w:r w:rsidR="00D71727">
        <w:rPr>
          <w:rFonts w:ascii="Times New Roman" w:hAnsi="Times New Roman"/>
          <w:sz w:val="24"/>
          <w:szCs w:val="24"/>
        </w:rPr>
        <w:t>онные фонды</w:t>
      </w:r>
      <w:r w:rsidR="00D71727" w:rsidRPr="004D7D40">
        <w:rPr>
          <w:rFonts w:ascii="Times New Roman" w:hAnsi="Times New Roman"/>
          <w:sz w:val="24"/>
          <w:szCs w:val="24"/>
        </w:rPr>
        <w:t xml:space="preserve"> у застрахованных лиц появилась возможность запретить рассмотрение всех заявлений о переходе (заявлений о досрочном переходе), которые поступят на его лицевой счет, кроме того заявления, кот</w:t>
      </w:r>
      <w:r w:rsidR="00D71727" w:rsidRPr="004D7D40">
        <w:rPr>
          <w:rFonts w:ascii="Times New Roman" w:hAnsi="Times New Roman"/>
          <w:sz w:val="24"/>
          <w:szCs w:val="24"/>
        </w:rPr>
        <w:t>о</w:t>
      </w:r>
      <w:r w:rsidR="00D71727" w:rsidRPr="004D7D40">
        <w:rPr>
          <w:rFonts w:ascii="Times New Roman" w:hAnsi="Times New Roman"/>
          <w:sz w:val="24"/>
          <w:szCs w:val="24"/>
        </w:rPr>
        <w:t>рое под</w:t>
      </w:r>
      <w:r w:rsidR="00D71727">
        <w:rPr>
          <w:rFonts w:ascii="Times New Roman" w:hAnsi="Times New Roman"/>
          <w:sz w:val="24"/>
          <w:szCs w:val="24"/>
        </w:rPr>
        <w:t xml:space="preserve">ано ими лично. </w:t>
      </w:r>
      <w:r w:rsidR="00D71727" w:rsidRPr="004D7D40">
        <w:rPr>
          <w:rFonts w:ascii="Times New Roman" w:hAnsi="Times New Roman"/>
          <w:sz w:val="24"/>
          <w:szCs w:val="24"/>
        </w:rPr>
        <w:t xml:space="preserve">Это позволит сократить каналы приема такого заявления до одного - клиентской службы ПФР. </w:t>
      </w:r>
      <w:r w:rsidRPr="004D7D40">
        <w:rPr>
          <w:rFonts w:ascii="Times New Roman" w:hAnsi="Times New Roman"/>
          <w:sz w:val="24"/>
          <w:szCs w:val="24"/>
        </w:rPr>
        <w:t>Запретить рассмотрение заявлений о переходе можно путем подачи в территориальный орган ПФР уведомления о запрете. В случае необходимости данное уведомле</w:t>
      </w:r>
      <w:r>
        <w:rPr>
          <w:rFonts w:ascii="Times New Roman" w:hAnsi="Times New Roman"/>
          <w:sz w:val="24"/>
          <w:szCs w:val="24"/>
        </w:rPr>
        <w:t>ние можно будет отозвать.</w:t>
      </w:r>
      <w:r w:rsidRPr="0008236F">
        <w:rPr>
          <w:rFonts w:ascii="Times New Roman" w:hAnsi="Times New Roman"/>
          <w:sz w:val="24"/>
          <w:szCs w:val="24"/>
        </w:rPr>
        <w:t xml:space="preserve"> </w:t>
      </w:r>
      <w:r w:rsidRPr="004D7D40">
        <w:rPr>
          <w:rFonts w:ascii="Times New Roman" w:hAnsi="Times New Roman"/>
          <w:sz w:val="24"/>
          <w:szCs w:val="24"/>
        </w:rPr>
        <w:t>Доку</w:t>
      </w:r>
      <w:r>
        <w:rPr>
          <w:rFonts w:ascii="Times New Roman" w:hAnsi="Times New Roman"/>
          <w:sz w:val="24"/>
          <w:szCs w:val="24"/>
        </w:rPr>
        <w:t>мент подается лично</w:t>
      </w:r>
      <w:r w:rsidRPr="004D7D40">
        <w:rPr>
          <w:rFonts w:ascii="Times New Roman" w:hAnsi="Times New Roman"/>
          <w:sz w:val="24"/>
          <w:szCs w:val="24"/>
        </w:rPr>
        <w:t xml:space="preserve"> или через предст</w:t>
      </w:r>
      <w:r w:rsidRPr="004D7D40">
        <w:rPr>
          <w:rFonts w:ascii="Times New Roman" w:hAnsi="Times New Roman"/>
          <w:sz w:val="24"/>
          <w:szCs w:val="24"/>
        </w:rPr>
        <w:t>а</w:t>
      </w:r>
      <w:r w:rsidRPr="004D7D40">
        <w:rPr>
          <w:rFonts w:ascii="Times New Roman" w:hAnsi="Times New Roman"/>
          <w:sz w:val="24"/>
          <w:szCs w:val="24"/>
        </w:rPr>
        <w:t>вителя, имеющего нотариально заверенную доверен</w:t>
      </w:r>
      <w:r>
        <w:rPr>
          <w:rFonts w:ascii="Times New Roman" w:hAnsi="Times New Roman"/>
          <w:sz w:val="24"/>
          <w:szCs w:val="24"/>
        </w:rPr>
        <w:t>ность</w:t>
      </w:r>
      <w:r w:rsidR="002B6F82">
        <w:rPr>
          <w:rFonts w:ascii="Times New Roman" w:hAnsi="Times New Roman"/>
          <w:sz w:val="24"/>
          <w:szCs w:val="24"/>
        </w:rPr>
        <w:t xml:space="preserve">. </w:t>
      </w:r>
      <w:r w:rsidRPr="004D7D40">
        <w:rPr>
          <w:rFonts w:ascii="Times New Roman" w:hAnsi="Times New Roman"/>
          <w:sz w:val="24"/>
          <w:szCs w:val="24"/>
        </w:rPr>
        <w:t>При наличии в ПФР уведомл</w:t>
      </w:r>
      <w:r w:rsidRPr="004D7D40">
        <w:rPr>
          <w:rFonts w:ascii="Times New Roman" w:hAnsi="Times New Roman"/>
          <w:sz w:val="24"/>
          <w:szCs w:val="24"/>
        </w:rPr>
        <w:t>е</w:t>
      </w:r>
      <w:r w:rsidRPr="004D7D40">
        <w:rPr>
          <w:rFonts w:ascii="Times New Roman" w:hAnsi="Times New Roman"/>
          <w:sz w:val="24"/>
          <w:szCs w:val="24"/>
        </w:rPr>
        <w:t>ния о запрете и при отсутствии уведомления об отзыве уведомления о запрете, запрет ра</w:t>
      </w:r>
      <w:r w:rsidRPr="004D7D40">
        <w:rPr>
          <w:rFonts w:ascii="Times New Roman" w:hAnsi="Times New Roman"/>
          <w:sz w:val="24"/>
          <w:szCs w:val="24"/>
        </w:rPr>
        <w:t>с</w:t>
      </w:r>
      <w:r w:rsidRPr="004D7D40">
        <w:rPr>
          <w:rFonts w:ascii="Times New Roman" w:hAnsi="Times New Roman"/>
          <w:sz w:val="24"/>
          <w:szCs w:val="24"/>
        </w:rPr>
        <w:t>смотрения заявления о переходе (заявления о досрочном переходе) будет действовать в отношении всех заявлений гражданина, подан</w:t>
      </w:r>
      <w:r>
        <w:rPr>
          <w:rFonts w:ascii="Times New Roman" w:hAnsi="Times New Roman"/>
          <w:sz w:val="24"/>
          <w:szCs w:val="24"/>
        </w:rPr>
        <w:t>ных иным способом, кроме личного обр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щения в ПФР. </w:t>
      </w:r>
      <w:r w:rsidR="00D71727" w:rsidRPr="004D7D40">
        <w:rPr>
          <w:rFonts w:ascii="Times New Roman" w:hAnsi="Times New Roman"/>
          <w:sz w:val="24"/>
          <w:szCs w:val="24"/>
        </w:rPr>
        <w:t>Запрет на перевод накоплений распространяется на все виды переходов - из одного НПФ в другой или из ПФР в НПФ и обрат</w:t>
      </w:r>
      <w:r w:rsidR="009E13D1">
        <w:rPr>
          <w:rFonts w:ascii="Times New Roman" w:hAnsi="Times New Roman"/>
          <w:sz w:val="24"/>
          <w:szCs w:val="24"/>
        </w:rPr>
        <w:t>но -</w:t>
      </w:r>
      <w:r w:rsidR="00D71727" w:rsidRPr="004D7D40">
        <w:rPr>
          <w:rFonts w:ascii="Times New Roman" w:hAnsi="Times New Roman"/>
          <w:sz w:val="24"/>
          <w:szCs w:val="24"/>
        </w:rPr>
        <w:t xml:space="preserve"> и действует бессроч</w:t>
      </w:r>
      <w:r w:rsidR="009E13D1">
        <w:rPr>
          <w:rFonts w:ascii="Times New Roman" w:hAnsi="Times New Roman"/>
          <w:sz w:val="24"/>
          <w:szCs w:val="24"/>
        </w:rPr>
        <w:t xml:space="preserve">но </w:t>
      </w:r>
      <w:r w:rsidR="00D71727" w:rsidRPr="004D7D40">
        <w:rPr>
          <w:rFonts w:ascii="Times New Roman" w:hAnsi="Times New Roman"/>
          <w:sz w:val="24"/>
          <w:szCs w:val="24"/>
        </w:rPr>
        <w:t>до тех пор, пока человек не анн</w:t>
      </w:r>
      <w:r w:rsidR="00D71727">
        <w:rPr>
          <w:rFonts w:ascii="Times New Roman" w:hAnsi="Times New Roman"/>
          <w:sz w:val="24"/>
          <w:szCs w:val="24"/>
        </w:rPr>
        <w:t xml:space="preserve">улирует его новым уведомлением. </w:t>
      </w:r>
      <w:r w:rsidR="00D71727" w:rsidRPr="00664652">
        <w:rPr>
          <w:rFonts w:ascii="Times New Roman" w:hAnsi="Times New Roman"/>
          <w:b/>
          <w:sz w:val="24"/>
          <w:szCs w:val="24"/>
        </w:rPr>
        <w:t>Начальник ГУ - Главного упра</w:t>
      </w:r>
      <w:r w:rsidR="00D71727" w:rsidRPr="00664652">
        <w:rPr>
          <w:rFonts w:ascii="Times New Roman" w:hAnsi="Times New Roman"/>
          <w:b/>
          <w:sz w:val="24"/>
          <w:szCs w:val="24"/>
        </w:rPr>
        <w:t>в</w:t>
      </w:r>
      <w:r w:rsidR="00D71727" w:rsidRPr="00664652">
        <w:rPr>
          <w:rFonts w:ascii="Times New Roman" w:hAnsi="Times New Roman"/>
          <w:b/>
          <w:sz w:val="24"/>
          <w:szCs w:val="24"/>
        </w:rPr>
        <w:t xml:space="preserve">ления ПФР № 9 по г. Москве и Московской области Людмила Тарасова </w:t>
      </w:r>
      <w:r w:rsidR="00D71727" w:rsidRPr="009E13D1">
        <w:rPr>
          <w:rFonts w:ascii="Times New Roman" w:hAnsi="Times New Roman"/>
          <w:sz w:val="24"/>
          <w:szCs w:val="24"/>
        </w:rPr>
        <w:t>подчеркнула</w:t>
      </w:r>
      <w:r w:rsidR="00D71727">
        <w:rPr>
          <w:rFonts w:ascii="Times New Roman" w:hAnsi="Times New Roman"/>
          <w:sz w:val="24"/>
          <w:szCs w:val="24"/>
        </w:rPr>
        <w:t>, что «</w:t>
      </w:r>
      <w:r w:rsidR="002B6F82">
        <w:rPr>
          <w:rFonts w:ascii="Times New Roman" w:hAnsi="Times New Roman"/>
          <w:sz w:val="24"/>
          <w:szCs w:val="24"/>
        </w:rPr>
        <w:t xml:space="preserve">указанное </w:t>
      </w:r>
      <w:r w:rsidR="00D71727" w:rsidRPr="004D7D40">
        <w:rPr>
          <w:rFonts w:ascii="Times New Roman" w:hAnsi="Times New Roman"/>
          <w:sz w:val="24"/>
          <w:szCs w:val="24"/>
        </w:rPr>
        <w:t xml:space="preserve">нововведение </w:t>
      </w:r>
      <w:r w:rsidR="002B6F82">
        <w:rPr>
          <w:rFonts w:ascii="Times New Roman" w:hAnsi="Times New Roman"/>
          <w:sz w:val="24"/>
          <w:szCs w:val="24"/>
        </w:rPr>
        <w:t>предполагает дополнительную защиту прав</w:t>
      </w:r>
      <w:r w:rsidR="00D71727" w:rsidRPr="004D7D40">
        <w:rPr>
          <w:rFonts w:ascii="Times New Roman" w:hAnsi="Times New Roman"/>
          <w:sz w:val="24"/>
          <w:szCs w:val="24"/>
        </w:rPr>
        <w:t xml:space="preserve"> росси</w:t>
      </w:r>
      <w:r w:rsidR="00D71727">
        <w:rPr>
          <w:rFonts w:ascii="Times New Roman" w:hAnsi="Times New Roman"/>
          <w:sz w:val="24"/>
          <w:szCs w:val="24"/>
        </w:rPr>
        <w:t xml:space="preserve">ян </w:t>
      </w:r>
      <w:r w:rsidR="00D71727" w:rsidRPr="004D7D40">
        <w:rPr>
          <w:rFonts w:ascii="Times New Roman" w:hAnsi="Times New Roman"/>
          <w:sz w:val="24"/>
          <w:szCs w:val="24"/>
        </w:rPr>
        <w:t>от н</w:t>
      </w:r>
      <w:r w:rsidR="00D71727" w:rsidRPr="004D7D40">
        <w:rPr>
          <w:rFonts w:ascii="Times New Roman" w:hAnsi="Times New Roman"/>
          <w:sz w:val="24"/>
          <w:szCs w:val="24"/>
        </w:rPr>
        <w:t>е</w:t>
      </w:r>
      <w:r w:rsidR="00D71727" w:rsidRPr="004D7D40">
        <w:rPr>
          <w:rFonts w:ascii="Times New Roman" w:hAnsi="Times New Roman"/>
          <w:sz w:val="24"/>
          <w:szCs w:val="24"/>
        </w:rPr>
        <w:t>правомерного перевода средств</w:t>
      </w:r>
      <w:r w:rsidR="009E13D1">
        <w:rPr>
          <w:rFonts w:ascii="Times New Roman" w:hAnsi="Times New Roman"/>
          <w:sz w:val="24"/>
          <w:szCs w:val="24"/>
        </w:rPr>
        <w:t>».</w:t>
      </w:r>
    </w:p>
    <w:p w:rsidR="00D71727" w:rsidRDefault="00D71727" w:rsidP="00D71727">
      <w:pPr>
        <w:rPr>
          <w:rFonts w:ascii="Times New Roman" w:hAnsi="Times New Roman"/>
          <w:sz w:val="24"/>
          <w:szCs w:val="24"/>
        </w:rPr>
      </w:pPr>
    </w:p>
    <w:sectPr w:rsidR="00D7172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5C1" w:rsidRDefault="00C645C1" w:rsidP="00E60B04">
      <w:pPr>
        <w:spacing w:after="0" w:line="240" w:lineRule="auto"/>
      </w:pPr>
      <w:r>
        <w:separator/>
      </w:r>
    </w:p>
  </w:endnote>
  <w:endnote w:type="continuationSeparator" w:id="0">
    <w:p w:rsidR="00C645C1" w:rsidRDefault="00C645C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5C1" w:rsidRDefault="00C645C1" w:rsidP="00E60B04">
      <w:pPr>
        <w:spacing w:after="0" w:line="240" w:lineRule="auto"/>
      </w:pPr>
      <w:r>
        <w:separator/>
      </w:r>
    </w:p>
  </w:footnote>
  <w:footnote w:type="continuationSeparator" w:id="0">
    <w:p w:rsidR="00C645C1" w:rsidRDefault="00C645C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6734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6734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C062FB"/>
    <w:multiLevelType w:val="hybridMultilevel"/>
    <w:tmpl w:val="0E18FF06"/>
    <w:lvl w:ilvl="0" w:tplc="41F26506">
      <w:start w:val="14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754E51"/>
    <w:multiLevelType w:val="multilevel"/>
    <w:tmpl w:val="4AAC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0"/>
  </w:num>
  <w:num w:numId="9">
    <w:abstractNumId w:val="13"/>
  </w:num>
  <w:num w:numId="10">
    <w:abstractNumId w:val="28"/>
  </w:num>
  <w:num w:numId="11">
    <w:abstractNumId w:val="8"/>
  </w:num>
  <w:num w:numId="12">
    <w:abstractNumId w:val="29"/>
  </w:num>
  <w:num w:numId="13">
    <w:abstractNumId w:val="9"/>
  </w:num>
  <w:num w:numId="14">
    <w:abstractNumId w:val="1"/>
  </w:num>
  <w:num w:numId="15">
    <w:abstractNumId w:val="6"/>
  </w:num>
  <w:num w:numId="16">
    <w:abstractNumId w:val="14"/>
  </w:num>
  <w:num w:numId="17">
    <w:abstractNumId w:val="24"/>
  </w:num>
  <w:num w:numId="18">
    <w:abstractNumId w:val="5"/>
  </w:num>
  <w:num w:numId="19">
    <w:abstractNumId w:val="15"/>
  </w:num>
  <w:num w:numId="20">
    <w:abstractNumId w:val="19"/>
  </w:num>
  <w:num w:numId="21">
    <w:abstractNumId w:val="7"/>
  </w:num>
  <w:num w:numId="22">
    <w:abstractNumId w:val="3"/>
  </w:num>
  <w:num w:numId="23">
    <w:abstractNumId w:val="30"/>
  </w:num>
  <w:num w:numId="24">
    <w:abstractNumId w:val="2"/>
  </w:num>
  <w:num w:numId="25">
    <w:abstractNumId w:val="4"/>
  </w:num>
  <w:num w:numId="26">
    <w:abstractNumId w:val="12"/>
  </w:num>
  <w:num w:numId="27">
    <w:abstractNumId w:val="27"/>
  </w:num>
  <w:num w:numId="28">
    <w:abstractNumId w:val="23"/>
  </w:num>
  <w:num w:numId="29">
    <w:abstractNumId w:val="11"/>
  </w:num>
  <w:num w:numId="30">
    <w:abstractNumId w:val="22"/>
  </w:num>
  <w:num w:numId="31">
    <w:abstractNumId w:val="17"/>
  </w:num>
  <w:num w:numId="32">
    <w:abstractNumId w:val="16"/>
  </w:num>
  <w:num w:numId="3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236F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9AA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E7CAF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7342"/>
    <w:rsid w:val="00271A56"/>
    <w:rsid w:val="002723FB"/>
    <w:rsid w:val="00276A22"/>
    <w:rsid w:val="00281F33"/>
    <w:rsid w:val="0028457F"/>
    <w:rsid w:val="002920A6"/>
    <w:rsid w:val="00292228"/>
    <w:rsid w:val="002A7F47"/>
    <w:rsid w:val="002B6F82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D7D40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652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1BF3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3D1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840"/>
    <w:rsid w:val="00C40DC0"/>
    <w:rsid w:val="00C42977"/>
    <w:rsid w:val="00C455EC"/>
    <w:rsid w:val="00C52A1F"/>
    <w:rsid w:val="00C57C42"/>
    <w:rsid w:val="00C60FA6"/>
    <w:rsid w:val="00C645C1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D61B0"/>
    <w:rsid w:val="00CE154D"/>
    <w:rsid w:val="00CE220B"/>
    <w:rsid w:val="00CE3C7A"/>
    <w:rsid w:val="00CE4883"/>
    <w:rsid w:val="00CE7D4C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1727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B7350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6826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0CD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8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78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D99DB-5E2E-45A9-A4EE-2B0356962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2021-04-14T07:18:00Z</dcterms:created>
  <dcterms:modified xsi:type="dcterms:W3CDTF">2021-04-14T07:18:00Z</dcterms:modified>
</cp:coreProperties>
</file>