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6E2" w:rsidRDefault="005266E2" w:rsidP="00526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СТРАХОВАТЕЛЯМ</w:t>
      </w:r>
      <w:r w:rsidR="009C6FD3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E32F8">
        <w:rPr>
          <w:rFonts w:ascii="Times New Roman" w:hAnsi="Times New Roman"/>
          <w:b/>
          <w:sz w:val="28"/>
          <w:szCs w:val="28"/>
        </w:rPr>
        <w:t xml:space="preserve">о порядке заполнения формы «Сведения о трудовой деятельности зарегистрированного лица (СЗВ-ТД)» </w:t>
      </w:r>
    </w:p>
    <w:p w:rsidR="005266E2" w:rsidRDefault="005266E2" w:rsidP="00526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66E2" w:rsidRPr="005266E2" w:rsidRDefault="005266E2" w:rsidP="005266E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266E2">
        <w:rPr>
          <w:rFonts w:ascii="Times New Roman" w:hAnsi="Times New Roman"/>
          <w:b/>
          <w:sz w:val="24"/>
          <w:szCs w:val="24"/>
        </w:rPr>
        <w:t>22 декабря 2021 года</w:t>
      </w:r>
    </w:p>
    <w:p w:rsidR="005266E2" w:rsidRPr="005266E2" w:rsidRDefault="005266E2" w:rsidP="005266E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66E2" w:rsidRDefault="005266E2" w:rsidP="005266E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266E2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5266E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</w:t>
      </w:r>
      <w:proofErr w:type="gramEnd"/>
      <w:r w:rsidRPr="005266E2">
        <w:rPr>
          <w:rFonts w:ascii="Times New Roman" w:eastAsia="Times New Roman" w:hAnsi="Times New Roman"/>
          <w:b/>
          <w:sz w:val="24"/>
          <w:szCs w:val="24"/>
          <w:lang w:eastAsia="ru-RU"/>
        </w:rPr>
        <w:t>Москве и Московской области</w:t>
      </w:r>
      <w:r w:rsidRPr="005266E2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сообщает, что с 22 ноября 2021 года </w:t>
      </w:r>
      <w:r w:rsidR="00B13E6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5266E2">
        <w:rPr>
          <w:rFonts w:ascii="Times New Roman" w:eastAsia="Times New Roman" w:hAnsi="Times New Roman"/>
          <w:sz w:val="24"/>
          <w:szCs w:val="24"/>
          <w:lang w:eastAsia="ru-RU"/>
        </w:rPr>
        <w:t xml:space="preserve">ступил в силу Федеральный закон  </w:t>
      </w:r>
      <w:r w:rsidRPr="005266E2">
        <w:rPr>
          <w:rFonts w:ascii="Times New Roman" w:hAnsi="Times New Roman"/>
          <w:sz w:val="24"/>
          <w:szCs w:val="24"/>
        </w:rPr>
        <w:t>№ 377-ФЗ «О внесении изменений в Трудовой кодекс Российской Федерации», который  регламентирует применение электронного документооборота в сфере трудовых отношений, а также внесены изменения в статью 68 Трудового кодекса Российской Федерации.</w:t>
      </w:r>
    </w:p>
    <w:p w:rsidR="005266E2" w:rsidRPr="005266E2" w:rsidRDefault="005266E2" w:rsidP="005266E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266E2" w:rsidRPr="005266E2" w:rsidRDefault="009C6FD3" w:rsidP="009C6FD3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00375" cy="1800225"/>
            <wp:effectExtent l="19050" t="0" r="9525" b="0"/>
            <wp:wrapSquare wrapText="bothSides"/>
            <wp:docPr id="4" name="Рисунок 4" descr="Сведения о трудовой деятельности зарегистрированного лица (СЗВ-ТД») и в Порядок  заполнения сведений о трудовой деятельности по форме СЗВ-ТД - Новости -  УПФР в Верхотурском уезде - Государственные организации - Городской округ  Верхотур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ведения о трудовой деятельности зарегистрированного лица (СЗВ-ТД») и в Порядок  заполнения сведений о трудовой деятельности по форме СЗВ-ТД - Новости -  УПФР в Верхотурском уезде - Государственные организации - Городской округ  Верхотурски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66E2" w:rsidRPr="005266E2">
        <w:rPr>
          <w:rFonts w:ascii="Times New Roman" w:hAnsi="Times New Roman"/>
          <w:sz w:val="24"/>
          <w:szCs w:val="24"/>
        </w:rPr>
        <w:t>Согласно части 1 статьи 68ТК РФ прием на работу оформляется трудовым договором. Работодатель вправе издать на основании заключенного договора приказ (распоряжение) о приеме на работу. Содержание приказа (распоряжения) работодателя должно соответствовать условиям заключенного трудового договора.</w:t>
      </w:r>
    </w:p>
    <w:p w:rsidR="005266E2" w:rsidRPr="005266E2" w:rsidRDefault="005266E2" w:rsidP="005266E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5266E2">
        <w:rPr>
          <w:rFonts w:ascii="Times New Roman" w:hAnsi="Times New Roman"/>
          <w:sz w:val="24"/>
          <w:szCs w:val="24"/>
        </w:rPr>
        <w:t xml:space="preserve">В соответствии с пунктом 2.5 статьи 11 Федерального закона от 01.04.1996 № 27-ФЗ «Об индивидуальном (персонифицированном) учете в системе обязательного пенсионного страхования» страхователями представляются сведения о трудовой деятельности зарегистрированных лиц по форме СЗВ-ТД в случае приема на работу зарегистрированного лица – </w:t>
      </w:r>
      <w:r w:rsidRPr="005266E2">
        <w:rPr>
          <w:rFonts w:ascii="Times New Roman" w:hAnsi="Times New Roman"/>
          <w:b/>
          <w:i/>
          <w:sz w:val="24"/>
          <w:szCs w:val="24"/>
        </w:rPr>
        <w:t xml:space="preserve">не позднее рабочего дня, следующего за днем издания соответствующего приказа (распоряжения), иных решений или документов, подтверждающих оформление трудовых отношений. </w:t>
      </w:r>
      <w:proofErr w:type="gramEnd"/>
    </w:p>
    <w:p w:rsidR="009C6FD3" w:rsidRDefault="009C6FD3" w:rsidP="005266E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266E2" w:rsidRPr="005266E2" w:rsidRDefault="005266E2" w:rsidP="005266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66E2">
        <w:rPr>
          <w:rFonts w:ascii="Times New Roman" w:hAnsi="Times New Roman"/>
          <w:b/>
          <w:sz w:val="24"/>
          <w:szCs w:val="24"/>
        </w:rPr>
        <w:t>ВАЖНО знать:</w:t>
      </w:r>
      <w:r w:rsidRPr="005266E2">
        <w:rPr>
          <w:rFonts w:ascii="Times New Roman" w:hAnsi="Times New Roman"/>
          <w:sz w:val="24"/>
          <w:szCs w:val="24"/>
        </w:rPr>
        <w:t xml:space="preserve"> Пунктом 2.5.7 постановления Правления ПФР от 25.12.2019 № 730п «Об утверждении формы и формата сведений о трудовой деятельности зарегистрированного лица, а также порядка заполнения форм указанных сведений»  предусмотрено заполнение формы СЗВ-ТД на основании приказа (распоряжения) и иных решений или документов, подтверждающих оформление трудовых отношений.</w:t>
      </w:r>
    </w:p>
    <w:p w:rsidR="005266E2" w:rsidRPr="005266E2" w:rsidRDefault="005266E2" w:rsidP="009C6FD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66E2">
        <w:rPr>
          <w:rFonts w:ascii="Times New Roman" w:hAnsi="Times New Roman"/>
          <w:b/>
          <w:sz w:val="24"/>
          <w:szCs w:val="24"/>
        </w:rPr>
        <w:t>Начальник Главного управления ПФР №9 Людмила Тарасова отмечает</w:t>
      </w:r>
      <w:r w:rsidRPr="005266E2">
        <w:rPr>
          <w:rFonts w:ascii="Times New Roman" w:hAnsi="Times New Roman"/>
          <w:sz w:val="24"/>
          <w:szCs w:val="24"/>
        </w:rPr>
        <w:t xml:space="preserve">: «В случае принятия работодателем решения об оформлении приема </w:t>
      </w:r>
      <w:r w:rsidR="00B13E67">
        <w:rPr>
          <w:rFonts w:ascii="Times New Roman" w:hAnsi="Times New Roman"/>
          <w:sz w:val="24"/>
          <w:szCs w:val="24"/>
        </w:rPr>
        <w:t>сотрудн</w:t>
      </w:r>
      <w:r w:rsidRPr="005266E2">
        <w:rPr>
          <w:rFonts w:ascii="Times New Roman" w:hAnsi="Times New Roman"/>
          <w:sz w:val="24"/>
          <w:szCs w:val="24"/>
        </w:rPr>
        <w:t xml:space="preserve">ика на работу </w:t>
      </w:r>
      <w:r w:rsidRPr="005266E2">
        <w:rPr>
          <w:rFonts w:ascii="Times New Roman" w:hAnsi="Times New Roman"/>
          <w:b/>
          <w:i/>
          <w:sz w:val="24"/>
          <w:szCs w:val="24"/>
        </w:rPr>
        <w:t>без издания соответствующего приказа (распоряжения),</w:t>
      </w:r>
      <w:r w:rsidRPr="005266E2">
        <w:rPr>
          <w:rFonts w:ascii="Times New Roman" w:hAnsi="Times New Roman"/>
          <w:sz w:val="24"/>
          <w:szCs w:val="24"/>
        </w:rPr>
        <w:t xml:space="preserve"> при заполнении формы СЗВ-ТД в графах подраздела «Основание» следует указывать реквизиты трудового договора».</w:t>
      </w:r>
    </w:p>
    <w:sectPr w:rsidR="005266E2" w:rsidRPr="005266E2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466" w:rsidRDefault="000C0466" w:rsidP="00E60B04">
      <w:pPr>
        <w:spacing w:after="0" w:line="240" w:lineRule="auto"/>
      </w:pPr>
      <w:r>
        <w:separator/>
      </w:r>
    </w:p>
  </w:endnote>
  <w:endnote w:type="continuationSeparator" w:id="0">
    <w:p w:rsidR="000C0466" w:rsidRDefault="000C046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466" w:rsidRDefault="000C0466" w:rsidP="00E60B04">
      <w:pPr>
        <w:spacing w:after="0" w:line="240" w:lineRule="auto"/>
      </w:pPr>
      <w:r>
        <w:separator/>
      </w:r>
    </w:p>
  </w:footnote>
  <w:footnote w:type="continuationSeparator" w:id="0">
    <w:p w:rsidR="000C0466" w:rsidRDefault="000C046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7753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7753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4"/>
  </w:num>
  <w:num w:numId="9">
    <w:abstractNumId w:val="15"/>
  </w:num>
  <w:num w:numId="10">
    <w:abstractNumId w:val="33"/>
  </w:num>
  <w:num w:numId="11">
    <w:abstractNumId w:val="11"/>
  </w:num>
  <w:num w:numId="12">
    <w:abstractNumId w:val="34"/>
  </w:num>
  <w:num w:numId="13">
    <w:abstractNumId w:val="13"/>
  </w:num>
  <w:num w:numId="14">
    <w:abstractNumId w:val="2"/>
  </w:num>
  <w:num w:numId="15">
    <w:abstractNumId w:val="9"/>
  </w:num>
  <w:num w:numId="16">
    <w:abstractNumId w:val="16"/>
  </w:num>
  <w:num w:numId="17">
    <w:abstractNumId w:val="29"/>
  </w:num>
  <w:num w:numId="18">
    <w:abstractNumId w:val="8"/>
  </w:num>
  <w:num w:numId="19">
    <w:abstractNumId w:val="17"/>
  </w:num>
  <w:num w:numId="20">
    <w:abstractNumId w:val="22"/>
  </w:num>
  <w:num w:numId="21">
    <w:abstractNumId w:val="10"/>
  </w:num>
  <w:num w:numId="22">
    <w:abstractNumId w:val="5"/>
  </w:num>
  <w:num w:numId="23">
    <w:abstractNumId w:val="36"/>
  </w:num>
  <w:num w:numId="24">
    <w:abstractNumId w:val="4"/>
  </w:num>
  <w:num w:numId="25">
    <w:abstractNumId w:val="7"/>
  </w:num>
  <w:num w:numId="26">
    <w:abstractNumId w:val="14"/>
  </w:num>
  <w:num w:numId="27">
    <w:abstractNumId w:val="12"/>
  </w:num>
  <w:num w:numId="28">
    <w:abstractNumId w:val="21"/>
  </w:num>
  <w:num w:numId="29">
    <w:abstractNumId w:val="1"/>
  </w:num>
  <w:num w:numId="30">
    <w:abstractNumId w:val="32"/>
  </w:num>
  <w:num w:numId="31">
    <w:abstractNumId w:val="37"/>
  </w:num>
  <w:num w:numId="32">
    <w:abstractNumId w:val="35"/>
  </w:num>
  <w:num w:numId="33">
    <w:abstractNumId w:val="6"/>
  </w:num>
  <w:num w:numId="34">
    <w:abstractNumId w:val="27"/>
  </w:num>
  <w:num w:numId="35">
    <w:abstractNumId w:val="18"/>
  </w:num>
  <w:num w:numId="36">
    <w:abstractNumId w:val="20"/>
  </w:num>
  <w:num w:numId="37">
    <w:abstractNumId w:val="3"/>
  </w:num>
  <w:num w:numId="38">
    <w:abstractNumId w:val="25"/>
  </w:num>
  <w:num w:numId="39">
    <w:abstractNumId w:val="28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68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45E2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0466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47E9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266E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77808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77537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6FD3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13E67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3410A-8674-46DC-913C-8CC4A073C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2021-11-10T14:36:00Z</cp:lastPrinted>
  <dcterms:created xsi:type="dcterms:W3CDTF">2021-12-20T13:37:00Z</dcterms:created>
  <dcterms:modified xsi:type="dcterms:W3CDTF">2021-12-21T08:41:00Z</dcterms:modified>
</cp:coreProperties>
</file>