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E11" w:rsidRPr="00341730" w:rsidRDefault="00355E11" w:rsidP="00355E11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34173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Электронная трудовая книжка – это удобно, надёжно и безопасно</w:t>
      </w:r>
    </w:p>
    <w:p w:rsidR="00355E11" w:rsidRPr="00341730" w:rsidRDefault="00355E11" w:rsidP="00355E11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41730">
        <w:rPr>
          <w:rFonts w:ascii="Times New Roman" w:eastAsia="Times New Roman" w:hAnsi="Times New Roman"/>
          <w:b/>
          <w:sz w:val="24"/>
          <w:szCs w:val="24"/>
          <w:lang w:eastAsia="ru-RU"/>
        </w:rPr>
        <w:t>2 сентября 2021 года</w:t>
      </w:r>
    </w:p>
    <w:p w:rsidR="00355E11" w:rsidRDefault="00355E11" w:rsidP="00355E1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F3FE5">
        <w:rPr>
          <w:rFonts w:ascii="Times New Roman" w:eastAsia="Times New Roman" w:hAnsi="Times New Roman"/>
          <w:sz w:val="24"/>
          <w:szCs w:val="24"/>
          <w:lang w:eastAsia="ru-RU"/>
        </w:rPr>
        <w:t>напоминает</w:t>
      </w:r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что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</w:t>
      </w:r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>ачиная с 2020 года, Россия перешла на электронные трудовые книжки.</w:t>
      </w:r>
    </w:p>
    <w:p w:rsidR="00355E11" w:rsidRDefault="00355E11" w:rsidP="00355E1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5E11" w:rsidRPr="00341730" w:rsidRDefault="00355E11" w:rsidP="00355E1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95550" cy="2495550"/>
            <wp:effectExtent l="19050" t="0" r="0" b="0"/>
            <wp:wrapSquare wrapText="bothSides"/>
            <wp:docPr id="3" name="Рисунок 3" descr="Срок уведомления работников о возможности перехода на электронные трудовые  книжки продлен до 31 октябр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рок уведомления работников о возможности перехода на электронные трудовые  книжки продлен до 31 октябр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 xml:space="preserve">Электронная трудовая книжка сохраняет весь перечень сведений, которые учитываются в бумажной трудовой книжке, к тому же имеет достаточно весомый ряд </w:t>
      </w:r>
      <w:proofErr w:type="gramStart"/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>преимуществ</w:t>
      </w:r>
      <w:proofErr w:type="gramEnd"/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 xml:space="preserve"> как для работодателей, так и для работников.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Кроме этого, </w:t>
      </w:r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>минимиз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ирует</w:t>
      </w:r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 xml:space="preserve"> риск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появления </w:t>
      </w:r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>ошибок при заполнении трудовой книжки, исклю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чает</w:t>
      </w:r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 xml:space="preserve"> риск её утраты,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создаёт </w:t>
      </w:r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>прозрачность трудовых отношений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потому что</w:t>
      </w:r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 xml:space="preserve"> все данные передаются и хранятся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электронных ресурсах </w:t>
      </w:r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 xml:space="preserve">ПФР, а доступ к личному кабинету есть 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только у гражданина</w:t>
      </w:r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355E11" w:rsidRDefault="00355E11" w:rsidP="00355E1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5E11" w:rsidRPr="00341730" w:rsidRDefault="00355E11" w:rsidP="00355E1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>Информационная система Пенсионного фонда Российской Федерации аттестована в соответствии с действующим законодательством в области защиты персональных данных. Многолетний опыт показывает высокий уровень её защищённости.</w:t>
      </w:r>
    </w:p>
    <w:p w:rsidR="00355E11" w:rsidRPr="00341730" w:rsidRDefault="00355E11" w:rsidP="002B4F1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 xml:space="preserve">Выписку из электронной трудовой книжки можно получить в личном кабинете на сайте ПФР или на портале </w:t>
      </w:r>
      <w:proofErr w:type="spellStart"/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>, в клиентской службе ПФР, а также в виде бумажной выписки у работодателя за период работы у него.</w:t>
      </w:r>
    </w:p>
    <w:p w:rsidR="002B4F1E" w:rsidRDefault="002B4F1E" w:rsidP="002B4F1E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5E11" w:rsidRPr="00341730" w:rsidRDefault="00355E11" w:rsidP="002B4F1E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173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Подробнее ознакомиться с информацией об электронных трудовых книжках можно, пройдя по ссылке</w:t>
      </w:r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hyperlink r:id="rId9" w:history="1">
        <w:r w:rsidRPr="00341730">
          <w:rPr>
            <w:rFonts w:ascii="Times New Roman" w:eastAsia="Times New Roman" w:hAnsi="Times New Roman"/>
            <w:b/>
            <w:color w:val="212121"/>
            <w:sz w:val="24"/>
            <w:szCs w:val="24"/>
            <w:u w:val="single"/>
            <w:lang w:eastAsia="ru-RU"/>
          </w:rPr>
          <w:t>https://pfr</w:t>
        </w:r>
        <w:r w:rsidRPr="00341730">
          <w:rPr>
            <w:rFonts w:ascii="Times New Roman" w:eastAsia="Times New Roman" w:hAnsi="Times New Roman"/>
            <w:b/>
            <w:color w:val="212121"/>
            <w:sz w:val="24"/>
            <w:szCs w:val="24"/>
            <w:u w:val="single"/>
            <w:lang w:eastAsia="ru-RU"/>
          </w:rPr>
          <w:t>.</w:t>
        </w:r>
        <w:r w:rsidRPr="00341730">
          <w:rPr>
            <w:rFonts w:ascii="Times New Roman" w:eastAsia="Times New Roman" w:hAnsi="Times New Roman"/>
            <w:b/>
            <w:color w:val="212121"/>
            <w:sz w:val="24"/>
            <w:szCs w:val="24"/>
            <w:u w:val="single"/>
            <w:lang w:eastAsia="ru-RU"/>
          </w:rPr>
          <w:t>gov.ru/grazhdanam/etk/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4173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55E11" w:rsidRDefault="00355E11" w:rsidP="00355E11"/>
    <w:p w:rsidR="002C3D10" w:rsidRPr="00584239" w:rsidRDefault="00EC13E1" w:rsidP="00355E11">
      <w:pPr>
        <w:spacing w:after="100" w:afterAutospacing="1" w:line="240" w:lineRule="auto"/>
        <w:jc w:val="center"/>
        <w:outlineLvl w:val="0"/>
        <w:rPr>
          <w:szCs w:val="24"/>
        </w:rPr>
      </w:pPr>
      <w:r w:rsidRPr="00584239">
        <w:rPr>
          <w:szCs w:val="24"/>
        </w:rPr>
        <w:t xml:space="preserve"> </w:t>
      </w:r>
    </w:p>
    <w:sectPr w:rsidR="002C3D10" w:rsidRPr="00584239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231" w:rsidRDefault="00FD3231" w:rsidP="00E60B04">
      <w:pPr>
        <w:spacing w:after="0" w:line="240" w:lineRule="auto"/>
      </w:pPr>
      <w:r>
        <w:separator/>
      </w:r>
    </w:p>
  </w:endnote>
  <w:endnote w:type="continuationSeparator" w:id="0">
    <w:p w:rsidR="00FD3231" w:rsidRDefault="00FD323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231" w:rsidRDefault="00FD3231" w:rsidP="00E60B04">
      <w:pPr>
        <w:spacing w:after="0" w:line="240" w:lineRule="auto"/>
      </w:pPr>
      <w:r>
        <w:separator/>
      </w:r>
    </w:p>
  </w:footnote>
  <w:footnote w:type="continuationSeparator" w:id="0">
    <w:p w:rsidR="00FD3231" w:rsidRDefault="00FD323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3291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32918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5"/>
  </w:num>
  <w:num w:numId="9">
    <w:abstractNumId w:val="9"/>
  </w:num>
  <w:num w:numId="10">
    <w:abstractNumId w:val="26"/>
  </w:num>
  <w:num w:numId="11">
    <w:abstractNumId w:val="6"/>
  </w:num>
  <w:num w:numId="12">
    <w:abstractNumId w:val="27"/>
  </w:num>
  <w:num w:numId="13">
    <w:abstractNumId w:val="7"/>
  </w:num>
  <w:num w:numId="14">
    <w:abstractNumId w:val="1"/>
  </w:num>
  <w:num w:numId="15">
    <w:abstractNumId w:val="5"/>
  </w:num>
  <w:num w:numId="16">
    <w:abstractNumId w:val="11"/>
  </w:num>
  <w:num w:numId="17">
    <w:abstractNumId w:val="18"/>
  </w:num>
  <w:num w:numId="18">
    <w:abstractNumId w:val="3"/>
  </w:num>
  <w:num w:numId="19">
    <w:abstractNumId w:val="12"/>
  </w:num>
  <w:num w:numId="20">
    <w:abstractNumId w:val="14"/>
  </w:num>
  <w:num w:numId="21">
    <w:abstractNumId w:val="29"/>
  </w:num>
  <w:num w:numId="22">
    <w:abstractNumId w:val="8"/>
  </w:num>
  <w:num w:numId="23">
    <w:abstractNumId w:val="20"/>
  </w:num>
  <w:num w:numId="24">
    <w:abstractNumId w:val="22"/>
  </w:num>
  <w:num w:numId="25">
    <w:abstractNumId w:val="24"/>
  </w:num>
  <w:num w:numId="26">
    <w:abstractNumId w:val="17"/>
  </w:num>
  <w:num w:numId="27">
    <w:abstractNumId w:val="2"/>
  </w:num>
  <w:num w:numId="28">
    <w:abstractNumId w:val="28"/>
  </w:num>
  <w:num w:numId="29">
    <w:abstractNumId w:val="4"/>
  </w:num>
  <w:num w:numId="30">
    <w:abstractNumId w:val="21"/>
  </w:num>
  <w:num w:numId="31">
    <w:abstractNumId w:val="25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2918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B4F1E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55E11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1C14"/>
    <w:rsid w:val="00AD2477"/>
    <w:rsid w:val="00AD5086"/>
    <w:rsid w:val="00AE0F98"/>
    <w:rsid w:val="00AE1AEF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6F3E"/>
    <w:rsid w:val="00CB4B2B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31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fr.gov.ru/grazhdanam/etk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071DD-44B9-472D-A6F5-D86EC1C0E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2021-08-30T07:16:00Z</cp:lastPrinted>
  <dcterms:created xsi:type="dcterms:W3CDTF">2021-09-02T07:25:00Z</dcterms:created>
  <dcterms:modified xsi:type="dcterms:W3CDTF">2021-09-02T07:26:00Z</dcterms:modified>
</cp:coreProperties>
</file>