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cdd088c88fbf4e7a2dc16feba860ccb0a7b09"/>
    <w:p>
      <w:pPr>
        <w:pStyle w:val="Heading3"/>
      </w:pPr>
      <w:r>
        <w:t xml:space="preserve">Письмо Министерства труда и социальной защиты РФ от 10.07.2013 № 18-2/10/2-3836 "Об Обзоре рекомендаций по осуществлению комплекса организационных, разъяснительных и иных мер по недопущению должностными лицами поведения, которое может восприниматься окруж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http://mitino.mos.ru/anti-corruption/methodical-materials/detail/1201629.html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2023-07-25T23:39:31Z</dcterms:created>
  <dcterms:modified xsi:type="dcterms:W3CDTF">2023-07-25T23:39:31Z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