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d2808da1fb8e10cf5d281a3e7740c9ee990ded"/>
    <w:p>
      <w:pPr>
        <w:pStyle w:val="Heading3"/>
      </w:pPr>
      <w:r>
        <w:t xml:space="preserve">Памятка "Типовые ситуации конфликта интересов на государственной гражданской службе города Москвы в префектуре Северо-Западного административного округа города Москвы и порядок их урегулирования"</w:t>
      </w:r>
    </w:p>
    <w:p>
      <w:pPr>
        <w:pStyle w:val="FirstParagraph"/>
      </w:pPr>
      <w:r>
        <w:t xml:space="preserve">11.08.2014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http://mitino.mos.ru/anti-corruption/methodical-materials/detail/1201635.html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Митино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anti-corruption/methodical-materials/detail/120163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anti-corruption/methodical-materials/detail/120163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2025-06-08T17:49:12Z</dcterms:created>
  <dcterms:modified xsi:type="dcterms:W3CDTF">2025-06-08T17:49:12Z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