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c2615c0c4cdc07815337925ac82860bbd4d02"/>
    <w:p>
      <w:pPr>
        <w:pStyle w:val="Heading3"/>
      </w:pPr>
      <w:r>
        <w:t xml:space="preserve">Разъяснения Министерства труда и социальной защиты РФ от 5 октября 2012 г. "Обзор проблемных вопросов, возникающих при заполнении справок о доходах, об имуществе и обязательствах имущественного характера"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http://mitino.mos.ru/anti-corruption/methodical-materials/detail/1201640.html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2024-08-13T05:33:22Z</dcterms:created>
  <dcterms:modified xsi:type="dcterms:W3CDTF">2024-08-13T05:33:22Z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