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64f923b24fa76a16eb8cafffdccca32f4dc5a"/>
    <w:p>
      <w:pPr>
        <w:pStyle w:val="Heading3"/>
      </w:pPr>
      <w:r>
        <w:t xml:space="preserve">Приказ Министерства труда и социальной защиты Российской Федерации от 7.10.2013 г. № 530н "О требованиях к размещению и наполнению подразделов, посвященных вопросам противодействия коррупции, официальных сайтов Федеральных государственных органов, Централ</w:t>
      </w:r>
    </w:p>
    <w:p>
      <w:pPr>
        <w:pStyle w:val="FirstParagraph"/>
      </w:pPr>
      <w:r>
        <w:t xml:space="preserve">11.08.2014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http://mitino.mos.ru/anti-corruption/methodical-materials/detail/1201643.html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anti-corruption/methodical-materials/detail/12016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anti-corruption/methodical-materials/detail/12016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2025-07-26T09:50:07Z</dcterms:created>
  <dcterms:modified xsi:type="dcterms:W3CDTF">2025-07-26T09:50:07Z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