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2fa626b96f84f289be8580c00dba3b5d60f6d"/>
    <w:p>
      <w:pPr>
        <w:pStyle w:val="Heading3"/>
      </w:pPr>
      <w:r>
        <w:t xml:space="preserve">Памятка об уголовной ответственности за взяточничество для должностных лиц префектуры Северо-Западного административного округа города Москвы, управ районов, подведомственных им организаций</w:t>
      </w:r>
    </w:p>
    <w:p>
      <w:pPr>
        <w:pStyle w:val="FirstParagraph"/>
      </w:pPr>
      <w:r>
        <w:t xml:space="preserve">29.04.2016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http://mitino.mos.ru/anti-corruption/methodical-materials/detail/2873700.html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methodical-materials/detail/2873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methodical-materials/detail/2873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2024-08-31T09:57:38Z</dcterms:created>
  <dcterms:modified xsi:type="dcterms:W3CDTF">2024-08-31T09:57:38Z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