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b67484a66a4fbb3f6b95c5c72815f16aebb98"/>
    <w:p>
      <w:pPr>
        <w:pStyle w:val="Heading3"/>
      </w:pPr>
      <w:r>
        <w:t xml:space="preserve">ПОЛОЖЕНИЕ О КОМИССИИ ПО СОБЛЮДЕНИЮ ТРЕБОВАНИЙ К СЛУЖЕБНОМУ ПОВЕДЕНИЮ ГОСУДАРСТВЕННЫХ ГРАЖДАНСКИХ СЛУЖАЩИХ ГОРОДА МОСКВЫ И УРЕГУЛИРОВАНИЮ КОНФЛИКТА ИНТЕРЕСОВ</w:t>
      </w:r>
    </w:p>
    <w:p>
      <w:pPr>
        <w:pStyle w:val="FirstParagraph"/>
      </w:pPr>
      <w:r>
        <w:t xml:space="preserve">05.05.2016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http://mitino.mos.ru/anti-corruption/the-commission-for-observance-of-requirements-for-the-official-behaviour-of-state-civil-employees-of/detail/2901956.html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the-commission-for-observance-of-requirements-for-the-official-behaviour-of-state-civil-employees-of/detail/2901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the-commission-for-observance-of-requirements-for-the-official-behaviour-of-state-civil-employees-of/detail/2901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2025-07-26T18:53:50Z</dcterms:created>
  <dcterms:modified xsi:type="dcterms:W3CDTF">2025-07-26T18:53:50Z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