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dd5c42eb39bf2220e5513324d536f12b57986"/>
    <w:p>
      <w:pPr>
        <w:pStyle w:val="Heading3"/>
      </w:pPr>
      <w:r>
        <w:t xml:space="preserve">СОСТАВ КОМИССИИ ПО СОБЛЮДЕНИЮ ТРЕБОВАНИЙ К СЛУЖЕБНОМУ ПОВЕДЕНИЮ ГОСУДАРСТВЕННЫХ ГРАЖДАНСКИХ СЛУЖАЩИХ ГОРОДА МОСКВЫ И УРЕГУЛИРОВАНИЮ КОНФЛИКТА ИНТЕРЕСОВ</w:t>
      </w:r>
    </w:p>
    <w:p>
      <w:pPr>
        <w:pStyle w:val="FirstParagraph"/>
      </w:pPr>
      <w:r>
        <w:t xml:space="preserve">05.05.2016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http://mitino.mos.ru/anti-corruption/the-commission-for-observance-of-requirements-for-the-official-behaviour-of-state-civil-employees-of/detail/2901958.html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the-commission-for-observance-of-requirements-for-the-official-behaviour-of-state-civil-employees-of/detail/2901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the-commission-for-observance-of-requirements-for-the-official-behaviour-of-state-civil-employees-of/detail/2901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2025-01-24T19:12:07Z</dcterms:created>
  <dcterms:modified xsi:type="dcterms:W3CDTF">2025-01-24T19:12:07Z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