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иглашаем-на-военно-спортивный-праздник"/>
    <w:p>
      <w:pPr>
        <w:pStyle w:val="Heading3"/>
      </w:pPr>
      <w:r>
        <w:t xml:space="preserve">Приглашаем на военно-спортивный праздник</w:t>
      </w:r>
    </w:p>
    <w:p>
      <w:pPr>
        <w:pStyle w:val="FirstParagraph"/>
      </w:pPr>
      <w:r>
        <w:t xml:space="preserve">16.07.2021</w:t>
      </w:r>
    </w:p>
    <w:p>
      <w:pPr>
        <w:pStyle w:val="BodyText"/>
      </w:pPr>
      <w:r>
        <w:t xml:space="preserve">ВОЕНКОМАТ ИНФОРМИРУЕТ</w:t>
      </w:r>
    </w:p>
    <w:p>
      <w:pPr>
        <w:pStyle w:val="BodyText"/>
      </w:pPr>
      <w:r>
        <w:t xml:space="preserve">В целях повышения престижа Вооруженных сил Российской Федерации, военно-патриотического и духовно-нравственного воспитания приглашаем всех желающих юношей допризывного и призывного возраста принять участие в праздничных мероприятиях, посвященных 91-летию со дня образования Военно-десантных войск.</w:t>
      </w:r>
    </w:p>
    <w:p>
      <w:pPr>
        <w:pStyle w:val="BodyText"/>
      </w:pPr>
      <w:r>
        <w:t xml:space="preserve">2 августа 2021 года исполняется 91 год со дня образования Воздушно-десантных войск, в связи с чем</w:t>
      </w:r>
      <w:r>
        <w:t xml:space="preserve"> </w:t>
      </w:r>
      <w:r>
        <w:rPr>
          <w:bCs/>
          <w:b/>
        </w:rPr>
        <w:t xml:space="preserve">31 июля с 11.00 до 14.00 на полигоне Алабина</w:t>
      </w:r>
      <w:r>
        <w:t xml:space="preserve"> </w:t>
      </w:r>
      <w:r>
        <w:t xml:space="preserve">Московской области спланировано проведения военно-спортивного праздника.</w:t>
      </w:r>
    </w:p>
    <w:p>
      <w:pPr>
        <w:pStyle w:val="BodyText"/>
      </w:pPr>
      <w:r>
        <w:t xml:space="preserve">В ходе проведения праздника будут развёрнуты площадки стратегического показа вооружения, военной и специальной техники, находящейся на вооружении ВДВ, тренажеров, проведения военно-тактических игр (пейнтбол, страйкбол), военно – прикладных видов спорта (интерактивные футбольная и хоккейная площадки, городки, стрелковый тренажер, метание холодного оружия, гиревой спорт, самбо, армейский рукопашный бой, бокс, зона автомотоспорта и другое).</w:t>
      </w:r>
    </w:p>
    <w:p>
      <w:pPr>
        <w:pStyle w:val="BodyText"/>
      </w:pPr>
      <w:r>
        <w:t xml:space="preserve">Контактное лицо для организации взаимодействия Марковчин Виталий Николаевич (тел. 8 (495) 9629855, 8(910) 9263572)</w:t>
      </w:r>
    </w:p>
    <w:p>
      <w:pPr>
        <w:pStyle w:val="BodyText"/>
      </w:pPr>
      <w:r>
        <w:t xml:space="preserve">ВОЕННЫЙ КОМИССАР ВОЕННОГО КОМИССАРИАТА (ОБЪЕДИНЁННОГО, МИТИНСКОГО РАЙОНА СЕВЕРО-ЗАПАДНОГО АДМИНИСТРАТИВНОГО ОКРУГА ГОРОДА МОСКВЫ) С.ФРАНЦУЗОВ</w:t>
      </w:r>
    </w:p>
    <w:p>
      <w:pPr>
        <w:pStyle w:val="BodyText"/>
      </w:pPr>
      <w:r>
        <w:drawing>
          <wp:inline>
            <wp:extent cx="5334000" cy="353621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Безымянный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6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http://mitino.mos.ru/presscenter/important/detail/10111299.html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1112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1112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2025-08-05T21:52:20Z</dcterms:created>
  <dcterms:modified xsi:type="dcterms:W3CDTF">2025-08-05T21:52:20Z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