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c0c1f9c3f00a63c0043ecfe5718e14399b7e2"/>
    <w:p>
      <w:pPr>
        <w:pStyle w:val="Heading3"/>
      </w:pPr>
      <w:r>
        <w:t xml:space="preserve">План мероприятий в районе Митино с 2 февраля по 8 февраля 2015 года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r>
        <w:rPr>
          <w:bCs/>
          <w:b/>
        </w:rPr>
        <w:t xml:space="preserve">02.02.2015 12.00</w:t>
      </w:r>
    </w:p>
    <w:p>
      <w:pPr>
        <w:pStyle w:val="BodyText"/>
      </w:pPr>
      <w:r>
        <w:t xml:space="preserve">Библиотека №32, Барышиха, д.21 ВОВ( к 70-летию Победы). Встреча с участником ВОВ «Вспомним всех поименно…»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03.02.2015 14.00</w:t>
      </w:r>
    </w:p>
    <w:p>
      <w:pPr>
        <w:pStyle w:val="BodyText"/>
      </w:pPr>
      <w:r>
        <w:t xml:space="preserve">Библиотека №32, Барышиха, д.21 Литературное чтение. Громкое чтение «Конек - горбунок и другие»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http://mitino.mos.ru/presscenter/important/detail/1543083.html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543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543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2025-06-08T22:32:42Z</dcterms:created>
  <dcterms:modified xsi:type="dcterms:W3CDTF">2025-06-08T22:32:42Z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