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70b501f1b92181935021a324e9337853c93c2d"/>
    <w:p>
      <w:pPr>
        <w:pStyle w:val="Heading3"/>
      </w:pPr>
      <w:r>
        <w:t xml:space="preserve">Круглосуточный телефон психологической помощи 051</w:t>
      </w:r>
    </w:p>
    <w:p>
      <w:pPr>
        <w:pStyle w:val="FirstParagraph"/>
      </w:pPr>
      <w:r>
        <w:t xml:space="preserve">28.10.2015</w:t>
      </w:r>
    </w:p>
    <w:p>
      <w:pPr>
        <w:pStyle w:val="BodyText"/>
      </w:pPr>
      <w:r>
        <w:t xml:space="preserve">Круглосуточный телефон психологической помощи 051</w:t>
      </w:r>
    </w:p>
    <w:p>
      <w:pPr>
        <w:pStyle w:val="BodyText"/>
      </w:pPr>
      <w:r>
        <w:drawing>
          <wp:inline>
            <wp:extent cx="5334000" cy="746177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upload/medialibrary/ac1/kruglosutochnyy-tel-psikh-pomoshchi-0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617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http://mitino.mos.ru/presscenter/important/detail/2262430.html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24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22624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2023-07-26T11:34:45Z</dcterms:created>
  <dcterms:modified xsi:type="dcterms:W3CDTF">2023-07-26T11:34:45Z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