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2994e896f2de2ce803cdae01ed4663f545eab"/>
    <w:p>
      <w:pPr>
        <w:pStyle w:val="Heading3"/>
      </w:pPr>
      <w:r>
        <w:t xml:space="preserve">С 6 октября 2015 г. увеличены размеры выплат в связи с юбилеем супружеской жизни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drawing>
          <wp:inline>
            <wp:extent cx="3121152" cy="14813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a9b/vypla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1481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http://mitino.mos.ru/presscenter/important/detail/2262984.html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62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62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2025-07-26T09:07:44Z</dcterms:created>
  <dcterms:modified xsi:type="dcterms:W3CDTF">2025-07-26T09:07:44Z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