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06c8ea721b1303cc2c36f22e6124039c9d8bda"/>
    <w:p>
      <w:pPr>
        <w:pStyle w:val="Heading3"/>
      </w:pPr>
      <w:r>
        <w:t xml:space="preserve">В августе ПФР производит корректировку страховых пенсий работающих пенсионеро</w:t>
      </w:r>
    </w:p>
    <w:p>
      <w:pPr>
        <w:pStyle w:val="FirstParagraph"/>
      </w:pPr>
      <w:r>
        <w:t xml:space="preserve">25.08.2016</w:t>
      </w:r>
    </w:p>
    <w:bookmarkEnd w:id="20"/>
    <w:bookmarkStart w:id="24" w:name="section"/>
    <w:p>
      <w:pPr>
        <w:pStyle w:val="Heading1"/>
      </w:pPr>
      <w:r>
        <w:br/>
      </w:r>
    </w:p>
    <w:p>
      <w:pPr>
        <w:pStyle w:val="FirstParagraph"/>
      </w:pPr>
      <w:r>
        <w:t xml:space="preserve">В августе 2016 года работавшие в 2015 году пенсионеры начнут получать страховую пенсию в повышенном размере. Повышение пенсии обусловлено проведением Пенсионным фондом России ежегодной беззаявительной корректировки размеров страховой пенсии работающих пенсионеров.</w:t>
      </w:r>
    </w:p>
    <w:p>
      <w:pPr>
        <w:pStyle w:val="BodyText"/>
      </w:pPr>
      <w:r>
        <w:t xml:space="preserve">На беззаявительный перерасчет страховой пенсии имеют право получатели страховых пенсий по старости и по инвалидности, за которых их работодатели в 2015 году уплачивали страховые взносы.</w:t>
      </w:r>
    </w:p>
    <w:p>
      <w:pPr>
        <w:pStyle w:val="BodyText"/>
      </w:pPr>
      <w:r>
        <w:t xml:space="preserve">В отличие от традиционной индексации страховых пенсий, когда их размеры увеличиваются на определенный процент, прибавка к пенсии от корректировки носит сугубо индивидуальный характер: ее размер зависит от уровня заработной платы работающего пенсионера в 2015 году, то есть от суммы уплаченных за него работодателем страховых взносов и начисленных пенсионных баллов.</w:t>
      </w:r>
    </w:p>
    <w:p>
      <w:pPr>
        <w:pStyle w:val="BodyText"/>
      </w:pPr>
      <w:r>
        <w:t xml:space="preserve">Максимальная прибавка от корректировки ограничена тремя пенсионными баллами в денежном эквиваленте*, то есть не может составлять более 222,81 руб. (с 1 февраля 2016 года стоимость пенсионного балла составляет 74 руб. 27 коп.).</w:t>
      </w:r>
    </w:p>
    <w:p>
      <w:pPr>
        <w:pStyle w:val="BodyText"/>
      </w:pPr>
      <w:r>
        <w:t xml:space="preserve">На эти цели ПФР дополнительно направит до конца 2016 года порядка 9 млрд руб.</w:t>
      </w:r>
    </w:p>
    <w:p>
      <w:pPr>
        <w:pStyle w:val="BodyText"/>
      </w:pPr>
      <w:hyperlink r:id="rId21">
        <w:r>
          <w:rPr>
            <w:rStyle w:val="Hyperlink"/>
            <w:iCs/>
            <w:i/>
          </w:rPr>
          <w:t xml:space="preserve">* Статья 18 Федерального закона от 28.12.2013 № 400-ФЗ «О страховых пенсиях»</w:t>
        </w:r>
      </w:hyperlink>
      <w:r>
        <w:t xml:space="preserve"> </w:t>
      </w:r>
      <w:r>
        <w:rPr>
          <w:iCs/>
          <w:i/>
        </w:rPr>
        <w:t xml:space="preserve">(</w:t>
      </w:r>
      <w:hyperlink r:id="rId21">
        <w:r>
          <w:rPr>
            <w:rStyle w:val="Hyperlink"/>
          </w:rPr>
          <w:t xml:space="preserve">http://www.pfrf.ru/info/order/organization_appointment_payme/~2084</w:t>
        </w:r>
      </w:hyperlink>
      <w:r>
        <w:rPr>
          <w:iCs/>
          <w:i/>
        </w:rPr>
        <w:t xml:space="preserve">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http://mitino.mos.ru/presscenter/important/detail/3610677.html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3610677.html" TargetMode="External" /><Relationship Type="http://schemas.openxmlformats.org/officeDocument/2006/relationships/hyperlink" Id="rId21" Target="http://www.pfrf.ru/info/order/organization_appointment_payme/~20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3610677.html" TargetMode="External" /><Relationship Type="http://schemas.openxmlformats.org/officeDocument/2006/relationships/hyperlink" Id="rId21" Target="http://www.pfrf.ru/info/order/organization_appointment_payme/~20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2025-06-08T14:11:15Z</dcterms:created>
  <dcterms:modified xsi:type="dcterms:W3CDTF">2025-06-08T14:11:15Z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