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8cc10f9832d7b4e4234f6540ce2a695fc0303"/>
    <w:p>
      <w:pPr>
        <w:pStyle w:val="Heading3"/>
      </w:pPr>
      <w:r>
        <w:t xml:space="preserve">Резкое ухудшение эпизоотической ситуации в Российской Федерации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t xml:space="preserve">Комитет ветеринарии города Москвы (далее Комитет) информирует о резком ухудшении на территории Российской Федерации, в том числе в Центральном федеральном округе Российской Федерации, эпизоотической обстановки по ряду особо опасных заразных болезней животных, таких как: африканская чума свиней, оспа овец и коз, заразный узелковый (нодулярный) дерматит крупного рогатого скота.</w:t>
      </w:r>
    </w:p>
    <w:p>
      <w:pPr>
        <w:pStyle w:val="BodyText"/>
      </w:pPr>
      <w:r>
        <w:t xml:space="preserve">В ГНУ ВНИИВВиМ подтверждено выявление с 19 по 29 сентября 2016 г.52 новых очагов АЧС среди домашних свиней, из них: 41 на территории Архангельской обл., 9 в Вологодской области, 1 в Нурлатском р-не Республики Татарстан и 1 инфицированного АЧС объекта в дикой фауне на территории лесных угодий CIIT «Импульс» в Воскресенском районе Саратовской области.</w:t>
      </w:r>
    </w:p>
    <w:p>
      <w:pPr>
        <w:pStyle w:val="BodyText"/>
      </w:pPr>
      <w:r>
        <w:t xml:space="preserve">В настоящее время среди домашних свиней в режиме карантина находится 126 очагов АЧС, из них: 45 - на территории Архангельской, 25 - в Саратовской,19 - в Московской, 10 - в Волгоградской, 9 в Вологодской, 4 - в Воронежской,3 - в Рязанской, по 2 - в Липецкой области и Краснодарском крае,по 1 – в Тамбовской, Смоленской, Владимирской, Псковской, Орловской областях, и Республике Татарстан, а также 3 инфицированных АЧС объекта: по 1 – в Московской, Владимирской и Орловской областях. В режиме карантина по АЧС в дикой фауне находится 9 инфицированных АЧС объектов: 6 - в Саратовской, 2 - в Волгоградской, 1 - в Псковской областях, а также 2 очага АЧС во Владимирской области и 1 очаг - Чувашской Республике.</w:t>
      </w:r>
    </w:p>
    <w:p>
      <w:pPr>
        <w:pStyle w:val="BodyText"/>
      </w:pPr>
      <w:r>
        <w:t xml:space="preserve">Кроме того, неблагополучными по оспе овец и коз и узелковому (нодулярному) дерматиту крупного рогатого скота остаются 296 населенных пунктов (далее - н.п.):</w:t>
      </w:r>
    </w:p>
    <w:p>
      <w:pPr>
        <w:pStyle w:val="BodyText"/>
      </w:pPr>
      <w:r>
        <w:t xml:space="preserve">- по оспе овец и коз - 12 н.п. в Ярославской области, из них: 4 н.п. в Угличском районе; 2 - в Рыбинском, 4 - в Ярославском, 1 - в Некоузском, 1 - в Тутаевском районах, неблагополучными;</w:t>
      </w:r>
    </w:p>
    <w:p>
      <w:pPr>
        <w:pStyle w:val="BodyText"/>
      </w:pPr>
      <w:r>
        <w:t xml:space="preserve">- по узелковому (нодулярному) дерматиту крупного рогатого скота - 284 н.п., из них: 90 н.п. в Чеченской Республике; 57 н.п. в Республике Калмыкия, 35 н.п. в Республике Ингушетия, 30 н.п. в Ставропольском крае, 27 н.п. в Республике Дагестан, 10 н.п. в Астраханской области, 9 н.п. в Волгоградской области, 10 н.п. в Карачаево-Черкесской Республике, по 5 н.п. в Ростовской области и Краснодарском крае, 2 н.п. в Рязанской области, по 1 н.п. в республиках Кабардино-Балкарская и Адыгея, Воронежской и Тамбовской областях.</w:t>
      </w:r>
    </w:p>
    <w:p>
      <w:pPr>
        <w:pStyle w:val="BodyText"/>
      </w:pPr>
      <w:r>
        <w:t xml:space="preserve">Основными причинами распространения болезней явились незаконное перемещение (перевозка) и несанкционированная продажа животных, продуктов животноводства (мясные продукты, молоко, молочные продукты, шкуры животных) и кормов в неустановленных местах торговли.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http://mitino.mos.ru/presscenter/important/detail/3986166.html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86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86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2025-06-09T04:29:31Z</dcterms:created>
  <dcterms:modified xsi:type="dcterms:W3CDTF">2025-06-09T04:29:31Z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