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75e0175219778b28270714e2d59144ab90cc8c"/>
    <w:p>
      <w:pPr>
        <w:pStyle w:val="Heading3"/>
      </w:pPr>
      <w:r>
        <w:t xml:space="preserve">Об изменении маршрутов общественного транспорта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drawing>
          <wp:inline>
            <wp:extent cx="5334000" cy="38434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Реформа%20наземного%20транспор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3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0499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Новая%20модель%20автобус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4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8281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2000%20новых%20автобусов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2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06920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itino.mos.ru/www/изменены%20маршруты%20общественного%20транспорта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692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07384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itino.mos.ru/www/изменены%20маршруты%20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738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http://mitino.mos.ru/presscenter/important/detail/4395594.html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Митино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6" Target="http://mitino.mos.ru" TargetMode="External" /><Relationship Type="http://schemas.openxmlformats.org/officeDocument/2006/relationships/hyperlink" Id="rId35" Target="http://mitino.mos.ru/presscenter/important/detail/4395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itino.mos.ru" TargetMode="External" /><Relationship Type="http://schemas.openxmlformats.org/officeDocument/2006/relationships/hyperlink" Id="rId35" Target="http://mitino.mos.ru/presscenter/important/detail/4395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2025-02-26T18:18:49Z</dcterms:created>
  <dcterms:modified xsi:type="dcterms:W3CDTF">2025-02-26T18:18:49Z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