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f31a097a90e459faaa525c60827e731c4152b9"/>
    <w:p>
      <w:pPr>
        <w:pStyle w:val="Heading3"/>
      </w:pPr>
      <w:r>
        <w:t xml:space="preserve">Семинар по теме - "О переходе на контрольно-кассовую технику нового типа"</w:t>
      </w:r>
    </w:p>
    <w:p>
      <w:pPr>
        <w:pStyle w:val="FirstParagraph"/>
      </w:pPr>
      <w:r>
        <w:t xml:space="preserve">02.02.2017</w:t>
      </w:r>
    </w:p>
    <w:p>
      <w:pPr>
        <w:pStyle w:val="BodyText"/>
      </w:pPr>
      <w:r>
        <w:t xml:space="preserve">2 февраля 2017 года с 11-00 часов до 13-00 часов на базе ДК «Красный Октябрь» по адресу: ул. Вишневая, д.7. состоится семинар на тему: «Переход к применению контрольно-кассовой техники нового типа на территории города Москвы». Семинар проводит Федеральная налоговая служба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№ 290-ФЗ «О внесении изменений в Федеральный закон «О применении контрольно-кассовой техники при осуществлении наличных денежных расчетов и (или) расчетов с использованием платежных карт» с</w:t>
      </w:r>
      <w:r>
        <w:t xml:space="preserve"> </w:t>
      </w:r>
      <w:r>
        <w:rPr>
          <w:bCs/>
          <w:b/>
        </w:rPr>
        <w:t xml:space="preserve">1 февраля 2017 года</w:t>
      </w:r>
      <w:r>
        <w:t xml:space="preserve"> </w:t>
      </w:r>
      <w:r>
        <w:t xml:space="preserve">запланирован первый этап внедрения новой контрольно-кассовой техники в городе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оповещения организаций и граждан о переходе на контрольно-кассовую технику нового типа Департамент экономической политики и развития города Москвы и ФНС России проводит информационные семинары для бизнеса по ККТ.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семинаров представители УФНС России по Москве расскажут об основных положениях нового закона, ответят на интересующие предпринимателей вопросы, а также предоставят информационные материалы по ККТ.</w:t>
      </w:r>
    </w:p>
    <w:p>
      <w:pPr>
        <w:pStyle w:val="BodyText"/>
      </w:pPr>
      <w:r>
        <w:t xml:space="preserve">Первый семинар пройдет 25 января в Префектуре Центрального административного округа Москвы.</w:t>
      </w:r>
    </w:p>
    <w:p>
      <w:pPr>
        <w:pStyle w:val="BodyText"/>
      </w:pPr>
      <w:r>
        <w:t xml:space="preserve">Адрес – ул. Марксистская, д. 24, 2-й этаж.</w:t>
      </w:r>
    </w:p>
    <w:p>
      <w:pPr>
        <w:pStyle w:val="BodyText"/>
      </w:pPr>
      <w:r>
        <w:t xml:space="preserve">Начало в 14:00.</w:t>
      </w:r>
    </w:p>
    <w:p>
      <w:pPr>
        <w:pStyle w:val="BodyText"/>
      </w:pPr>
      <w:r>
        <w:t xml:space="preserve">Телефон для справок – 8 (495) 633-63-85.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Налоговые органы при реализации контрольных функций в сфере применения контрольно-кассовой техники (далее – ККТ) ориентируются на применение риск-ориентированного подхода, который в условиях действующей нормативной базы позволил с 2011 по 2015 год снизить количество проверок с 278 до 173 тысяч или на 38% и одновременно повысить их результативность с 54 до 86 процентов.</w:t>
      </w:r>
    </w:p>
    <w:p>
      <w:pPr>
        <w:pStyle w:val="BodyText"/>
      </w:pPr>
      <w:r>
        <w:t xml:space="preserve">Вместе с тем, современный уровень развития технологий позволяет существенно упростить действующий порядок и одновременно повысить его эффективность, причем как для налогоплательщиков, так и для налоговых органов, о чем свидетельствует мировой опыт.</w:t>
      </w:r>
    </w:p>
    <w:p>
      <w:pPr>
        <w:pStyle w:val="BodyText"/>
      </w:pPr>
      <w:r>
        <w:t xml:space="preserve">В целях совершенствования действующего порядка – затратного, трудоемкого и административно неудобного – была предложена идея его реформирования на основе применения современных автоматизированных систем.</w:t>
      </w:r>
    </w:p>
    <w:p>
      <w:pPr>
        <w:pStyle w:val="BodyText"/>
      </w:pPr>
      <w:r>
        <w:t xml:space="preserve">С 15 июля 2016 года вступил в силу</w:t>
      </w:r>
      <w:r>
        <w:t xml:space="preserve"> </w:t>
      </w:r>
      <w:hyperlink r:id="rId20">
        <w:r>
          <w:rPr>
            <w:rStyle w:val="Hyperlink"/>
          </w:rPr>
          <w:t xml:space="preserve">Федеральный закон № 290-ФЗ</w:t>
        </w:r>
      </w:hyperlink>
      <w:r>
        <w:t xml:space="preserve"> </w:t>
      </w:r>
      <w:r>
        <w:t xml:space="preserve">«О внесении изменений в Федеральный закон «О применении контрольно-кассовой техники при осуществлении наличных денежных расчетов и (или) расчетов с использованием платежных карт» и отдельные законодательные акты Российской Федерации».</w:t>
      </w:r>
    </w:p>
    <w:p>
      <w:pPr>
        <w:pStyle w:val="BodyText"/>
      </w:pPr>
      <w:r>
        <w:t xml:space="preserve">Закон предусматривает следующие основные положения:</w:t>
      </w:r>
    </w:p>
    <w:p>
      <w:pPr>
        <w:numPr>
          <w:ilvl w:val="0"/>
          <w:numId w:val="1001"/>
        </w:numPr>
        <w:pStyle w:val="Compact"/>
      </w:pPr>
      <w:r>
        <w:t xml:space="preserve">Передача информации о расчетах через операторов фискальных данных в ФНС России.</w:t>
      </w:r>
    </w:p>
    <w:p>
      <w:pPr>
        <w:numPr>
          <w:ilvl w:val="0"/>
          <w:numId w:val="1001"/>
        </w:numPr>
        <w:pStyle w:val="Compact"/>
      </w:pPr>
      <w:r>
        <w:t xml:space="preserve">Возможность осуществления всех регистрационных действий с ККТ и иного юридически значимого документооборота по вопросам применения ККТ через личный кабинет на сайте ФНС России.</w:t>
      </w:r>
    </w:p>
    <w:p>
      <w:pPr>
        <w:numPr>
          <w:ilvl w:val="0"/>
          <w:numId w:val="1001"/>
        </w:numPr>
        <w:pStyle w:val="Compact"/>
      </w:pPr>
      <w:r>
        <w:t xml:space="preserve">Изготовление кассовых чеков и бланков строгой отчетности исключительно кассовыми аппаратами с возможностью их направления в электронной форме на абонентский номер или электронную почту покупателя. Бланк строгой отчетности приравнен к кассовому чеку.</w:t>
      </w:r>
    </w:p>
    <w:p>
      <w:pPr>
        <w:numPr>
          <w:ilvl w:val="0"/>
          <w:numId w:val="1001"/>
        </w:numPr>
        <w:pStyle w:val="Compact"/>
      </w:pPr>
      <w:r>
        <w:t xml:space="preserve">Применение кассовых аппаратов при оказании услуг, а также плательщиками единого налога на вмененный доход и патента.</w:t>
      </w:r>
    </w:p>
    <w:p>
      <w:pPr>
        <w:numPr>
          <w:ilvl w:val="0"/>
          <w:numId w:val="1001"/>
        </w:numPr>
        <w:pStyle w:val="Compact"/>
      </w:pPr>
      <w:r>
        <w:t xml:space="preserve">Применение фискального накопителя (аналог электронной контрольной ленты защищенной) с возможностью его самостоятельной замены 1 раз в 3 года плательщиками ЕНВД и патента, а также сферы услуг. Предельные сроки применения фискального накопителя законом не ограничены.</w:t>
      </w:r>
    </w:p>
    <w:p>
      <w:pPr>
        <w:numPr>
          <w:ilvl w:val="0"/>
          <w:numId w:val="1001"/>
        </w:numPr>
        <w:pStyle w:val="Compact"/>
      </w:pPr>
      <w:r>
        <w:t xml:space="preserve">Техническое обслуживание не обязательно для регистрации кассового аппарата в ФНС России.</w:t>
      </w:r>
    </w:p>
    <w:p>
      <w:pPr>
        <w:numPr>
          <w:ilvl w:val="0"/>
          <w:numId w:val="1001"/>
        </w:numPr>
        <w:pStyle w:val="Compact"/>
      </w:pPr>
      <w:r>
        <w:t xml:space="preserve">Экспертиза произведенных кассовых аппаратов и технических средств операторов фискальных данных.</w:t>
      </w:r>
    </w:p>
    <w:p>
      <w:pPr>
        <w:numPr>
          <w:ilvl w:val="0"/>
          <w:numId w:val="1001"/>
        </w:numPr>
        <w:pStyle w:val="Compact"/>
      </w:pPr>
      <w:r>
        <w:t xml:space="preserve">Поэкземплярный учет ФНС России произведенных кассовых аппаратов и фискальных накопителей в форме реестров.</w:t>
      </w:r>
    </w:p>
    <w:p>
      <w:pPr>
        <w:numPr>
          <w:ilvl w:val="0"/>
          <w:numId w:val="1001"/>
        </w:numPr>
        <w:pStyle w:val="Compact"/>
      </w:pPr>
      <w:r>
        <w:t xml:space="preserve">Возможность применения ККТ в автономном режиме при определенных условиях.</w:t>
      </w:r>
    </w:p>
    <w:p>
      <w:pPr>
        <w:numPr>
          <w:ilvl w:val="0"/>
          <w:numId w:val="1001"/>
        </w:numPr>
        <w:pStyle w:val="Compact"/>
      </w:pPr>
      <w:r>
        <w:t xml:space="preserve">Новые формы контрольных мероприятий, возможность запроса в банках информации по счетам в ходе оперативных проверок.</w:t>
      </w:r>
    </w:p>
    <w:p>
      <w:pPr>
        <w:numPr>
          <w:ilvl w:val="0"/>
          <w:numId w:val="1001"/>
        </w:numPr>
        <w:pStyle w:val="Compact"/>
      </w:pPr>
      <w:r>
        <w:t xml:space="preserve">Плавный и поэтапный переход к новому порядку применения ККТ. Так, с 15 июля 2016 года предусмотрена возможность добровольного перехода на новый порядок, с 1 февраля 2017 года регистрация ККТ будет осуществляться только по новому порядку, а с 1 июля 2017 года старый порядок прекратит свое действие. При этом у предприятий сферы услуг, владельцев торговых автоматов, а также лиц, применяющих патент и ЕНВД, то есть для малого бизнеса, который не был обязан применять ККТ, будет еще целый год для перехода на новый порядок, для них он становится обязательным с 1 июля 2018 года.</w:t>
      </w:r>
    </w:p>
    <w:p>
      <w:pPr>
        <w:numPr>
          <w:ilvl w:val="0"/>
          <w:numId w:val="1001"/>
        </w:numPr>
        <w:pStyle w:val="Compact"/>
      </w:pPr>
      <w:r>
        <w:t xml:space="preserve">Основные положения предлагаемой системы – это:</w:t>
      </w:r>
    </w:p>
    <w:p>
      <w:pPr>
        <w:numPr>
          <w:ilvl w:val="1"/>
          <w:numId w:val="1002"/>
        </w:numPr>
        <w:pStyle w:val="Compact"/>
      </w:pPr>
      <w:r>
        <w:t xml:space="preserve">Передача информации о расчетах в электронном виде в адрес налоговых органов через</w:t>
      </w:r>
      <w:r>
        <w:t xml:space="preserve"> </w:t>
      </w:r>
      <w:hyperlink r:id="rId21">
        <w:r>
          <w:rPr>
            <w:rStyle w:val="Hyperlink"/>
          </w:rPr>
          <w:t xml:space="preserve">оператора фискальных данных</w:t>
        </w:r>
      </w:hyperlink>
      <w:r>
        <w:t xml:space="preserve">.</w:t>
      </w:r>
    </w:p>
    <w:p>
      <w:pPr>
        <w:numPr>
          <w:ilvl w:val="1"/>
          <w:numId w:val="1002"/>
        </w:numPr>
        <w:pStyle w:val="Compact"/>
      </w:pPr>
      <w:r>
        <w:t xml:space="preserve">Электронная регистрация ККТ без посещения налогового органа и без физического предоставления ККТ.</w:t>
      </w:r>
    </w:p>
    <w:p>
      <w:pPr>
        <w:numPr>
          <w:ilvl w:val="1"/>
          <w:numId w:val="1002"/>
        </w:numPr>
        <w:pStyle w:val="Compact"/>
      </w:pPr>
      <w:r>
        <w:t xml:space="preserve">Построение системы гарантированного выявления нарушений на основе автоматизированного анализа информации о расчетах, выявления зон риска совершения правонарушений и проведения точечных результативных проверок.</w:t>
      </w:r>
    </w:p>
    <w:p>
      <w:pPr>
        <w:numPr>
          <w:ilvl w:val="1"/>
          <w:numId w:val="1002"/>
        </w:numPr>
        <w:pStyle w:val="Compact"/>
      </w:pPr>
      <w:r>
        <w:t xml:space="preserve">Вовлечение покупателей в гражданский контроль.</w:t>
      </w:r>
    </w:p>
    <w:p>
      <w:pPr>
        <w:numPr>
          <w:ilvl w:val="0"/>
          <w:numId w:val="1000"/>
        </w:numPr>
      </w:pPr>
      <w:r>
        <w:t xml:space="preserve">Для апробирования предлагаемой технологии был проведен эксперимент в соответствии с</w:t>
      </w:r>
      <w:r>
        <w:t xml:space="preserve"> </w:t>
      </w:r>
      <w:hyperlink r:id="rId22">
        <w:r>
          <w:rPr>
            <w:rStyle w:val="Hyperlink"/>
          </w:rPr>
          <w:t xml:space="preserve">постановлением Правительства РФ от 14.07.2014 № 657</w:t>
        </w:r>
      </w:hyperlink>
      <w:r>
        <w:t xml:space="preserve"> </w:t>
      </w:r>
      <w:r>
        <w:t xml:space="preserve">«О проведении в 2014 - 2015 годах эксперимента …» с применением технологии передачи информации о расчетах в адрес налоговых органов.</w:t>
      </w:r>
    </w:p>
    <w:p>
      <w:pPr>
        <w:numPr>
          <w:ilvl w:val="0"/>
          <w:numId w:val="1000"/>
        </w:numPr>
      </w:pPr>
      <w:r>
        <w:t xml:space="preserve">Цели эксперимента – определение для организаций и индивидуальных предпринимателей финансовой эффективности и удобства применения технологии передачи информации, а также технических возможностей эксплуатации ККТ и технологии передачи информации.</w:t>
      </w:r>
    </w:p>
    <w:p>
      <w:pPr>
        <w:numPr>
          <w:ilvl w:val="0"/>
          <w:numId w:val="1000"/>
        </w:numPr>
      </w:pPr>
      <w:r>
        <w:t xml:space="preserve">Эксперимент проведен в течение шести месяцев с 1 августа 2014 года в четырех субъектах Российской Федерации: в Москве, Московской области, Республике Татарстан и Калужской области.</w:t>
      </w:r>
    </w:p>
    <w:p>
      <w:pPr>
        <w:numPr>
          <w:ilvl w:val="0"/>
          <w:numId w:val="1000"/>
        </w:numPr>
      </w:pPr>
      <w:r>
        <w:t xml:space="preserve">Эксперимент показал как финансовую эффективность технологии передачи информации о расчетах для организаций и индивидуальных предпринимателей при переходе на предлагаемый порядок применения ККТ, так и удобство применения такой технологии. При этом доказаны технические возможности эксплуатации технологии передачи информации о расчетах.</w:t>
      </w:r>
    </w:p>
    <w:p>
      <w:pPr>
        <w:numPr>
          <w:ilvl w:val="0"/>
          <w:numId w:val="1000"/>
        </w:numPr>
      </w:pPr>
      <w:r>
        <w:t xml:space="preserve">В эксперименте принимали участие налогоплательщики различного вида и масштаба деятельности: как крупные розничные сети, так и индивидуальные предприниматели. При этом наравне с налогоплательщиками, обязанными применять ККТ, в эксперименте приняли участие налогоплательщики, которые не обязаны применять ККТ, например работающие в сфере оказания услуг.</w:t>
      </w:r>
    </w:p>
    <w:p>
      <w:pPr>
        <w:numPr>
          <w:ilvl w:val="0"/>
          <w:numId w:val="1000"/>
        </w:numPr>
      </w:pPr>
      <w:r>
        <w:t xml:space="preserve">Эксперимент завершен 1 февраля 2015 года, однако по просьбе налогоплательщиков – участников эксперимента</w:t>
      </w:r>
      <w:r>
        <w:t xml:space="preserve"> </w:t>
      </w:r>
      <w:hyperlink r:id="rId23">
        <w:r>
          <w:rPr>
            <w:rStyle w:val="Hyperlink"/>
          </w:rPr>
          <w:t xml:space="preserve">постановлением Правительства РФ от 03.06.2015 № 543</w:t>
        </w:r>
      </w:hyperlink>
      <w:r>
        <w:t xml:space="preserve"> </w:t>
      </w:r>
      <w:r>
        <w:t xml:space="preserve">им предоставлено право регистрировать ККТ и работать по новой технологии до конца 2015 года.</w:t>
      </w:r>
      <w:r>
        <w:t xml:space="preserve"> </w:t>
      </w:r>
      <w:hyperlink r:id="rId24">
        <w:r>
          <w:rPr>
            <w:rStyle w:val="Hyperlink"/>
          </w:rPr>
          <w:t xml:space="preserve">Постановлением Правительства РФ от 22.12.2015 № 1402</w:t>
        </w:r>
      </w:hyperlink>
      <w:r>
        <w:t xml:space="preserve"> </w:t>
      </w:r>
      <w:r>
        <w:t xml:space="preserve">участникам эксперимента предоставлено право применять ККТ по новой технологии до конца 2016 года.</w:t>
      </w:r>
    </w:p>
    <w:p>
      <w:pPr>
        <w:numPr>
          <w:ilvl w:val="0"/>
          <w:numId w:val="1000"/>
        </w:numPr>
      </w:pPr>
      <w:r>
        <w:t xml:space="preserve">На сегодняшний день к апробируемой технологии подключено 3,5 тысячи единиц кассовой техники, пробито 50 млн. чеков на сумму 40 млрд. рублей.</w:t>
      </w:r>
    </w:p>
    <w:p>
      <w:pPr>
        <w:numPr>
          <w:ilvl w:val="0"/>
          <w:numId w:val="1000"/>
        </w:numPr>
        <w:pStyle w:val="Compact"/>
      </w:pPr>
      <w:r>
        <w:t xml:space="preserve">Какие же преимущества дает новая технология? В первую очередь она позволяет добросовестному владельцу ККТ:</w:t>
      </w:r>
    </w:p>
    <w:p>
      <w:pPr>
        <w:numPr>
          <w:ilvl w:val="1"/>
          <w:numId w:val="1003"/>
        </w:numPr>
        <w:pStyle w:val="Compact"/>
      </w:pPr>
      <w:r>
        <w:t xml:space="preserve">снизить ежегодные расходы на ККТ;</w:t>
      </w:r>
    </w:p>
    <w:p>
      <w:pPr>
        <w:numPr>
          <w:ilvl w:val="1"/>
          <w:numId w:val="1003"/>
        </w:numPr>
        <w:pStyle w:val="Compact"/>
      </w:pPr>
      <w:r>
        <w:t xml:space="preserve">получить инструмент, с помощью которого он сможет в режиме реального времени следить за своими оборотами, показателями, и лучше контролировать свой бизнес;</w:t>
      </w:r>
    </w:p>
    <w:p>
      <w:pPr>
        <w:numPr>
          <w:ilvl w:val="1"/>
          <w:numId w:val="1003"/>
        </w:numPr>
        <w:pStyle w:val="Compact"/>
      </w:pPr>
      <w:r>
        <w:t xml:space="preserve">иметь возможность через сайт ФНС России зарегистрировать ККТ без ее физического предоставления в налоговый орган;</w:t>
      </w:r>
    </w:p>
    <w:p>
      <w:pPr>
        <w:numPr>
          <w:ilvl w:val="1"/>
          <w:numId w:val="1003"/>
        </w:numPr>
        <w:pStyle w:val="Compact"/>
      </w:pPr>
      <w:r>
        <w:t xml:space="preserve">применять в составе ККТ современные электронные устройства – мобильные телефоны и планшеты;</w:t>
      </w:r>
    </w:p>
    <w:p>
      <w:pPr>
        <w:numPr>
          <w:ilvl w:val="1"/>
          <w:numId w:val="1003"/>
        </w:numPr>
        <w:pStyle w:val="Compact"/>
      </w:pPr>
      <w:r>
        <w:t xml:space="preserve">избавиться от проверок, так как оперативное получение информации о расчетах обеспечивает соответствующую среду доверия;</w:t>
      </w:r>
    </w:p>
    <w:p>
      <w:pPr>
        <w:numPr>
          <w:ilvl w:val="1"/>
          <w:numId w:val="1003"/>
        </w:numPr>
        <w:pStyle w:val="Compact"/>
      </w:pPr>
      <w:r>
        <w:t xml:space="preserve">работать в условиях честной конкурентной бизнес среды за счет пресечения возможности недобросовестных налогоплательщиков незаконно минимизировать свои налоговые обязательства и нечестно получать конкурентное преимущество.</w:t>
      </w:r>
    </w:p>
    <w:p>
      <w:pPr>
        <w:numPr>
          <w:ilvl w:val="0"/>
          <w:numId w:val="1000"/>
        </w:numPr>
        <w:pStyle w:val="Compact"/>
      </w:pPr>
      <w:r>
        <w:t xml:space="preserve">Гражданину новая технология дает дополнительную защиту своих прав как потребителя за счет возможности:</w:t>
      </w:r>
    </w:p>
    <w:p>
      <w:pPr>
        <w:numPr>
          <w:ilvl w:val="1"/>
          <w:numId w:val="1004"/>
        </w:numPr>
        <w:pStyle w:val="Compact"/>
      </w:pPr>
      <w:r>
        <w:t xml:space="preserve">получить электронный чек у оператора фискальных данных и (или) в своей электронной почте;</w:t>
      </w:r>
    </w:p>
    <w:p>
      <w:pPr>
        <w:numPr>
          <w:ilvl w:val="1"/>
          <w:numId w:val="1004"/>
        </w:numPr>
        <w:pStyle w:val="Compact"/>
      </w:pPr>
      <w:r>
        <w:t xml:space="preserve">самостоятельно быстро и удобно проверить легальность кассового чека через бесплатное мобильное приложение и в случае возникновения вопросов тут же направить жалобу в ФНС России.</w:t>
      </w:r>
    </w:p>
    <w:p>
      <w:pPr>
        <w:numPr>
          <w:ilvl w:val="0"/>
          <w:numId w:val="1000"/>
        </w:numPr>
      </w:pPr>
      <w:r>
        <w:t xml:space="preserve">С точки зрения государства ожидается легализации розничной торговли и сферы услуг и, соответственно, увеличение налоговых поступлений, а также оптимизация трудозатрат за счет перехода на электронную регистрацию и сосредоточения внимания налоговых органов на зонах рисках.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http://mitino.mos.ru/presscenter/important/detail/4839842.html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Митино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itino.mos.ru" TargetMode="External" /><Relationship Type="http://schemas.openxmlformats.org/officeDocument/2006/relationships/hyperlink" Id="rId25" Target="http://mitino.mos.ru/presscenter/important/detail/4839842.html" TargetMode="External" /><Relationship Type="http://schemas.openxmlformats.org/officeDocument/2006/relationships/hyperlink" Id="rId22" Target="http://publication.pravo.gov.ru/Document/View/0001201407160005" TargetMode="External" /><Relationship Type="http://schemas.openxmlformats.org/officeDocument/2006/relationships/hyperlink" Id="rId23" Target="http://publication.pravo.gov.ru/Document/View/0001201506050034" TargetMode="External" /><Relationship Type="http://schemas.openxmlformats.org/officeDocument/2006/relationships/hyperlink" Id="rId24" Target="http://publication.pravo.gov.ru/Document/View/0001201512250005" TargetMode="External" /><Relationship Type="http://schemas.openxmlformats.org/officeDocument/2006/relationships/hyperlink" Id="rId20" Target="http://publication.pravo.gov.ru/Document/View/0001201607040160" TargetMode="External" /><Relationship Type="http://schemas.openxmlformats.org/officeDocument/2006/relationships/hyperlink" Id="rId21" Target="https://www.nalog.ru/rn77/related_activities/registries/fiscaloperato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itino.mos.ru" TargetMode="External" /><Relationship Type="http://schemas.openxmlformats.org/officeDocument/2006/relationships/hyperlink" Id="rId25" Target="http://mitino.mos.ru/presscenter/important/detail/4839842.html" TargetMode="External" /><Relationship Type="http://schemas.openxmlformats.org/officeDocument/2006/relationships/hyperlink" Id="rId22" Target="http://publication.pravo.gov.ru/Document/View/0001201407160005" TargetMode="External" /><Relationship Type="http://schemas.openxmlformats.org/officeDocument/2006/relationships/hyperlink" Id="rId23" Target="http://publication.pravo.gov.ru/Document/View/0001201506050034" TargetMode="External" /><Relationship Type="http://schemas.openxmlformats.org/officeDocument/2006/relationships/hyperlink" Id="rId24" Target="http://publication.pravo.gov.ru/Document/View/0001201512250005" TargetMode="External" /><Relationship Type="http://schemas.openxmlformats.org/officeDocument/2006/relationships/hyperlink" Id="rId20" Target="http://publication.pravo.gov.ru/Document/View/0001201607040160" TargetMode="External" /><Relationship Type="http://schemas.openxmlformats.org/officeDocument/2006/relationships/hyperlink" Id="rId21" Target="https://www.nalog.ru/rn77/related_activities/registries/fiscaloperato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2023-07-26T08:42:59Z</dcterms:created>
  <dcterms:modified xsi:type="dcterms:W3CDTF">2023-07-26T08:42:59Z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