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921985cf851ef045d40ed490d37f05b7585ff"/>
    <w:p>
      <w:pPr>
        <w:pStyle w:val="Heading3"/>
      </w:pPr>
      <w:r>
        <w:t xml:space="preserve">Открытые патриотические акции: "Вахта Памяти. Вечный огонь" и "Линия Памяти"</w:t>
      </w:r>
    </w:p>
    <w:p>
      <w:pPr>
        <w:pStyle w:val="FirstParagraph"/>
      </w:pPr>
      <w:r>
        <w:t xml:space="preserve">13.06.2018</w:t>
      </w:r>
    </w:p>
    <w:p>
      <w:pPr>
        <w:pStyle w:val="BodyText"/>
      </w:pPr>
      <w:r>
        <w:t xml:space="preserve">21-22 июня 2018 г. пройдет Открытая патриотическая акция "Вахта памяти. Вечный огонь 2018", в рамках которой запланировано проведение городской патриотической акции "Линия памяти" с 18.00 21 июня до 23.59 22 июня на территории Крымской набережной и акции "Вахта памяти. Вечный огонь" с 3.00 до 5.30 22 июня на территории Манежной площади и в Александровском саду.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http://mitino.mos.ru/presscenter/important/detail/7388256.html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88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7388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2025-06-09T00:44:24Z</dcterms:created>
  <dcterms:modified xsi:type="dcterms:W3CDTF">2025-06-09T00:44:24Z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