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e9a22951936f5d425fe2dd5b7dba58f9dc8c985"/>
    <w:p>
      <w:pPr>
        <w:pStyle w:val="Heading3"/>
      </w:pPr>
      <w:r>
        <w:t xml:space="preserve">Как понять, цифровое у меня телевидение или нет?</w:t>
      </w:r>
    </w:p>
    <w:p>
      <w:pPr>
        <w:pStyle w:val="FirstParagraph"/>
      </w:pPr>
      <w:r>
        <w:t xml:space="preserve">25.03.2019</w:t>
      </w:r>
    </w:p>
    <w:p>
      <w:pPr>
        <w:pStyle w:val="BodyText"/>
      </w:pPr>
      <w:r>
        <w:drawing>
          <wp:inline>
            <wp:extent cx="5334000" cy="37709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itino.mos.ru/www/Листовка%20_горизонт_мМФЦ,%20ТиНАО,%20подъезды_page-000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70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http://mitino.mos.ru/presscenter/important/detail/7970847.html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Митино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797084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797084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2025-08-05T21:51:57Z</dcterms:created>
  <dcterms:modified xsi:type="dcterms:W3CDTF">2025-08-05T21:51:57Z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