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тематических-горячих-линий."/>
    <w:p>
      <w:pPr>
        <w:pStyle w:val="Heading3"/>
      </w:pPr>
      <w:r>
        <w:t xml:space="preserve">О проведении тематических горячих линий.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 8 апреля по 28 </w:t>
      </w:r>
      <w:r>
        <w:t xml:space="preserve">апреля 2019 года организовал горячую линию для приема информации от граждан по вопросам качества услуг в предприятиях общественного питания.</w:t>
      </w:r>
    </w:p>
    <w:p>
      <w:pPr>
        <w:pStyle w:val="BodyText"/>
      </w:pPr>
      <w:r>
        <w:t xml:space="preserve">Обращения граждан принимаются в рабочие дни по телефону: 8(499)190-42-11 с 09.00 до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http://mitino.mos.ru/presscenter/important/detail/8007256.html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07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07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2025-06-09T01:44:41Z</dcterms:created>
  <dcterms:modified xsi:type="dcterms:W3CDTF">2025-06-09T01:44:41Z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