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669f95dd4083816396da34339f1939ea07d65"/>
    <w:p>
      <w:pPr>
        <w:pStyle w:val="Heading3"/>
      </w:pPr>
      <w:r>
        <w:t xml:space="preserve">О маркировке промышленных товаров контрольными идентификационными знаками</w:t>
      </w:r>
    </w:p>
    <w:p>
      <w:pPr>
        <w:pStyle w:val="FirstParagraph"/>
      </w:pPr>
      <w:r>
        <w:t xml:space="preserve">27.01.2020</w:t>
      </w:r>
    </w:p>
    <w:p>
      <w:pPr>
        <w:pStyle w:val="BodyText"/>
      </w:pPr>
      <w:r>
        <w:drawing>
          <wp:inline>
            <wp:extent cx="5334000" cy="5067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Bezyimyannyii--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67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http://mitino.mos.ru/presscenter/important/detail/8647308.html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647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647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2025-06-08T23:17:59Z</dcterms:created>
  <dcterms:modified xsi:type="dcterms:W3CDTF">2025-06-08T23:17:59Z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