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52d7e83171f4d3480967580211ee1f2c02194"/>
    <w:p>
      <w:pPr>
        <w:pStyle w:val="Heading3"/>
      </w:pPr>
      <w:r>
        <w:t xml:space="preserve">В Москве объем регистраций на вторичном рынке жилья вернулся к показателям докарантинного периода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Управлением Росреестра по Москве в августе 2020 года зарегистрировано 14 695 переходов прав на основании договоров купли-продажи (мены) жилья – на 30% больше, чем в предыдущем месяце (11 303). В сравнении с августом прошлого года, когда было оформлено 10 683 таких договора, показатель увеличился на 38%.</w:t>
      </w:r>
    </w:p>
    <w:p>
      <w:pPr>
        <w:pStyle w:val="BodyText"/>
      </w:pPr>
      <w:r>
        <w:t xml:space="preserve">Всего с января по август текущего года столичным Росреестром зафиксирован 77 891 переход прав на вторичном рынке недвижимости, что на 18% меньше аналогичного периода прошлого года (95 312). При этом еще месяцем ранее, т.е. с января по июль, годовая динамика составляла 25%.</w:t>
      </w:r>
    </w:p>
    <w:p>
      <w:pPr>
        <w:pStyle w:val="BodyText"/>
      </w:pPr>
      <w:r>
        <w:rPr>
          <w:iCs/>
          <w:i/>
        </w:rPr>
        <w:t xml:space="preserve">«В августе число зарегистрированных переходов прав на основании договоров купли-продажи жилья, как и по итогам июля, увеличилось по отношению к предыдущему месяцу на 30%. Кроме того, августовский показатель сопоставим с мартом текущего года, когда был зафиксирован наибольший в 2020 году объем регистраций на вторичном рынке недвижимости – разница составляет менее 1%. Данная статистика подтверждает заявления экспертов строительной отрасли о том, что к осени объём сделок со вторичкой вернулся к показателям докарантинного периода»,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http://mitino.mos.ru/presscenter/important/detail/9254484.html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54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54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2024-08-27T19:21:37Z</dcterms:created>
  <dcterms:modified xsi:type="dcterms:W3CDTF">2024-08-27T19:21:37Z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