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bb10f1501b141cfb24fdc8db39179ef20eb43"/>
    <w:p>
      <w:pPr>
        <w:pStyle w:val="Heading3"/>
      </w:pPr>
      <w:r>
        <w:t xml:space="preserve">Как зарегистрировать в Росреестре договор переуступки по ДДУ</w:t>
      </w:r>
    </w:p>
    <w:p>
      <w:pPr>
        <w:pStyle w:val="FirstParagraph"/>
      </w:pPr>
      <w:r>
        <w:t xml:space="preserve">09.11.2020</w:t>
      </w:r>
    </w:p>
    <w:p>
      <w:pPr>
        <w:pStyle w:val="BodyText"/>
      </w:pPr>
      <w:r>
        <w:t xml:space="preserve">За период действия программы льготного кредитования многие покупатели квартир, которые заключали с застройщиком договор участия в долевом строительстве, пересмотрели свои финансовые возможности и теперь решили приобрести, например, вместо однокомнатной квартиры более просторное жилье.</w:t>
      </w:r>
    </w:p>
    <w:p>
      <w:pPr>
        <w:pStyle w:val="BodyText"/>
      </w:pPr>
      <w:r>
        <w:t xml:space="preserve">Таким образом, уже приобретенное жилье в строящемся доме будет продаваться по договору уступки прав требования по ДДУ и, если сделка заключается между физическими лицами, действие льготной ипотеки на него уже распространяться не будет.</w:t>
      </w:r>
    </w:p>
    <w:p>
      <w:pPr>
        <w:pStyle w:val="BodyText"/>
      </w:pPr>
      <w:r>
        <w:t xml:space="preserve">Договор переуступки по ДДУ подлежит обязательной государственной регистрации в Росреестре и действует до подписания акта приема-передачи квартиры.</w:t>
      </w:r>
    </w:p>
    <w:p>
      <w:pPr>
        <w:pStyle w:val="BodyText"/>
      </w:pPr>
      <w:r>
        <w:t xml:space="preserve">Подать заявление на регистрацию договоров об уступке прав требования по ДДУ можно лично или через представителя как в центрах госуслуг «Мои Документы», так и направив пакет документов почтой в столичный Росреестр.</w:t>
      </w:r>
    </w:p>
    <w:p>
      <w:pPr>
        <w:pStyle w:val="BodyText"/>
      </w:pPr>
      <w:r>
        <w:rPr>
          <w:u w:val="single"/>
          <w:bCs/>
          <w:b/>
        </w:rPr>
        <w:t xml:space="preserve">Необходимый перечень документов</w:t>
      </w:r>
    </w:p>
    <w:p>
      <w:pPr>
        <w:pStyle w:val="BodyText"/>
      </w:pPr>
      <w:r>
        <w:t xml:space="preserve">- заявления от всех сторон сделки;</w:t>
      </w:r>
    </w:p>
    <w:p>
      <w:pPr>
        <w:pStyle w:val="BodyText"/>
      </w:pPr>
      <w:r>
        <w:t xml:space="preserve">- договор об уступке прав требований по ДДУ (не менее двух экземпляров);</w:t>
      </w:r>
    </w:p>
    <w:p>
      <w:pPr>
        <w:pStyle w:val="BodyText"/>
      </w:pPr>
      <w:r>
        <w:t xml:space="preserve">- в случае обращения через представителя, удостоверенные нотариусом доверенности от всех сторон, кто по ним действует;</w:t>
      </w:r>
    </w:p>
    <w:p>
      <w:pPr>
        <w:pStyle w:val="BodyText"/>
      </w:pPr>
      <w:r>
        <w:t xml:space="preserve">- справка, подтверждающая полную или частичную уплату цены ДДУ цедентом* застройщику, с указанием размеров и сроков внесения платежей, выданная застройщиком или банком, через который осуществлялась оплата.</w:t>
      </w:r>
    </w:p>
    <w:p>
      <w:pPr>
        <w:pStyle w:val="BodyText"/>
      </w:pPr>
      <w:r>
        <w:t xml:space="preserve">Срок предоставления –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рабочих дней.</w:t>
      </w:r>
    </w:p>
    <w:p>
      <w:pPr>
        <w:pStyle w:val="BodyText"/>
      </w:pPr>
      <w:r>
        <w:t xml:space="preserve">Размер государственной пошлины составляет 350 рублей.</w:t>
      </w:r>
    </w:p>
    <w:p>
      <w:pPr>
        <w:pStyle w:val="BodyText"/>
      </w:pPr>
      <w:r>
        <w:t xml:space="preserve">Согласие застройщика на уступку прав требования по ДДУ не требуется. Но прежде, чем заключать данный договор, необходимо запросить у продавца документы, которые подтвердят полную оплату цены за квартиру по договору долевого участия в строительстве. Такую справку, а также информацию есть ли задолженность по оплате, вправе предоставить застройщик.</w:t>
      </w:r>
    </w:p>
    <w:p>
      <w:pPr>
        <w:pStyle w:val="BodyText"/>
      </w:pPr>
      <w:r>
        <w:rPr>
          <w:iCs/>
          <w:i/>
        </w:rPr>
        <w:t xml:space="preserve">*физическое или юридическое лицо, уступающее свои права третьему лицу.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http://mitino.mos.ru/presscenter/important/detail/9404512.html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404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404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2025-07-26T05:29:53Z</dcterms:created>
  <dcterms:modified xsi:type="dcterms:W3CDTF">2025-07-26T05:29:53Z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