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885ca412f2743daa2d58597bcf5949b11361c"/>
    <w:p>
      <w:pPr>
        <w:pStyle w:val="Heading3"/>
      </w:pPr>
      <w:r>
        <w:t xml:space="preserve">В Москве по итогам сентября оформлен наивысший объем ДДУ с привлечением кредитов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t xml:space="preserve">Управлением Росреестра по Москве в сентябре 2020 года зарегистрировано 6 738 договоров участия в долевом строительстве в отношении жилых и нежилых помещений с привлечением кредитных средств – в полтора раза (+47%) больше, чем в предыдущем месяце (4 582). В годовом выражении данный показатель увеличился более чем вдвое (+107%) – в сентябре прошлого года оформлено 3 249 таких договоров в новостройках.</w:t>
      </w:r>
      <w:r>
        <w:br/>
      </w:r>
      <w:r>
        <w:br/>
      </w:r>
      <w:r>
        <w:t xml:space="preserve">Всего с января по сентябрь столичным Росреестром зарегистрировано 32 522 договора на первичном рынке недвижимости с привлечением кредитов – на 4% больше, чем годом ранее за аналогичный период (31 229). При этом доля таких договоров в общем количестве зарегистрированных в столице ДДУ за этот период (70 646) составила 46%, тогда как по итогам девяти месяцев прошлого года (80 803) она была на уровне 39%.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http://mitino.mos.ru/presscenter/important/detail/9416917.html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416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416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2023-07-26T11:30:35Z</dcterms:created>
  <dcterms:modified xsi:type="dcterms:W3CDTF">2023-07-26T11:30:35Z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