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9b0b193af9edd4b2c74e975880d4bd12b33f23"/>
    <w:p>
      <w:pPr>
        <w:pStyle w:val="Heading3"/>
      </w:pPr>
      <w:r>
        <w:t xml:space="preserve">В Москве число сделок на вторичном рынке жилья за октябрь увеличилось на 20%</w:t>
      </w:r>
    </w:p>
    <w:p>
      <w:pPr>
        <w:pStyle w:val="FirstParagraph"/>
      </w:pPr>
      <w:r>
        <w:t xml:space="preserve">23.11.2020</w:t>
      </w:r>
    </w:p>
    <w:p>
      <w:pPr>
        <w:pStyle w:val="BodyText"/>
      </w:pPr>
      <w:r>
        <w:t xml:space="preserve">Управлением Росреестра по Москве в октябре 2020 года зарегистрировано 18 433 перехода прав на основании договоров купли-продажи (мены) жилья – в 1,2 раза (+20%) больше, чем в предыдущем месяце (15 422). В годовом выражении показатель увеличился в полтора раза (+46%) – в октябре прошлого года оформлено 12 605 переходов прав.</w:t>
      </w:r>
      <w:r>
        <w:br/>
      </w:r>
      <w:r>
        <w:br/>
      </w:r>
      <w:r>
        <w:t xml:space="preserve">Несмотря на то, что с июня объем зарегистрированных столичным Росреестром переходов прав ежемесячно растет, превысить совокупный показатель прошлого года за аналогичные месяцы пока не удалось. Так, с января зафиксировано 111 746 переходов прав по договорам купли-продажи жилья, что на 5% меньше, чем годом ранее за десять месяцев (117 944). При этом с июля отрицательная годовая динамика сокращается.</w:t>
      </w:r>
      <w:r>
        <w:br/>
      </w:r>
      <w:r>
        <w:br/>
      </w:r>
      <w:r>
        <w:t xml:space="preserve">«По итогам октября в Москве на вторичном рынке недвижимости обновлен рекорд текущего года – зарегистрировано почти 18,5 тыс. переходов прав купли-продажи жилья. Данный показатель сопоставим с декабрем 2018 года, когда был зафиксирован максимальный за последние шесть лет объем таких договоров – почти 19 тыс., разница с октябрем текущего года составляет всего два процента. – комментирует Игорь Майданов, руководитель Управления Росреестра по Москве. – С одной стороны, возможно, подобный ажиотаж связан с отложенным спросом населения, который не был реализован весной во время режима самоизоляции. Кроме того, на рост числа покупок квартир могла повлиять и возможность приобретения так называемой «новой вторички», когда продавец, являясь юридическим лицом, после оформления прав продает объект недвижимости по договору уступки прав требования по ДДУ. На такие сделки распространяются условия льготной ипотеки – в отличие от случаев, когда договор заключается между физическими лицами».</w:t>
      </w:r>
      <w:r>
        <w:br/>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http://mitino.mos.ru/presscenter/important/detail/9450497.html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945049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94504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2025-04-09T03:32:35Z</dcterms:created>
  <dcterms:modified xsi:type="dcterms:W3CDTF">2025-04-09T03:32:35Z</dcterms:modified>
</cp:coreProperties>
</file>

<file path=docProps/custom.xml><?xml version="1.0" encoding="utf-8"?>
<Properties xmlns="http://schemas.openxmlformats.org/officeDocument/2006/custom-properties" xmlns:vt="http://schemas.openxmlformats.org/officeDocument/2006/docPropsVTypes"/>
</file>