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ada5ab32de5cc70c6afd5104ef765b97e105c"/>
    <w:p>
      <w:pPr>
        <w:pStyle w:val="Heading3"/>
      </w:pPr>
      <w:r>
        <w:t xml:space="preserve">Почти 2 млн кв. м недвижимости по реновации внесено в ЕГРН столичным Росеестром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t xml:space="preserve">Управлением Росреестра по Москве за все время реализации программы обновления жилищного фонда столицы поставлены на государственный кадастровый учет 86 многоквартирных домов по реновации, из них 27 – в текущем году. Для сравнения – по итогам прошлого года столичный Росреестр присвоил кадастровые адреса 15 таким МКД.</w:t>
      </w:r>
    </w:p>
    <w:p>
      <w:pPr>
        <w:pStyle w:val="BodyText"/>
      </w:pPr>
      <w:r>
        <w:t xml:space="preserve">Бесспорным лидером здесь является Северо-Восточный административный округ Москвы, где в Единый государственный реестр недвижимости (ЕГРН) уже внесены сведения о 24 домах. В тройку лидеров также входят ЗАО (14) и САО (12). Замыкает перечень Новая Москва и Зеленоград, где находится наименьшее количество домов под снос, а также центр столицы.</w:t>
      </w:r>
    </w:p>
    <w:p>
      <w:pPr>
        <w:pStyle w:val="BodyText"/>
      </w:pPr>
      <w:r>
        <w:t xml:space="preserve">По общей площади домов, поставленных на кадастровый учет, как и по их количеству, лидируют СВАО</w:t>
      </w:r>
      <w:r>
        <w:t xml:space="preserve"> </w:t>
      </w:r>
      <w:r>
        <w:rPr>
          <w:iCs/>
          <w:i/>
        </w:rPr>
        <w:t xml:space="preserve">(503 тыс. кв. м)</w:t>
      </w:r>
      <w:r>
        <w:t xml:space="preserve">, ЗАО</w:t>
      </w:r>
      <w:r>
        <w:t xml:space="preserve"> </w:t>
      </w:r>
      <w:r>
        <w:rPr>
          <w:iCs/>
          <w:i/>
        </w:rPr>
        <w:t xml:space="preserve">(342 тыс. кв. м)</w:t>
      </w:r>
      <w:r>
        <w:t xml:space="preserve"> </w:t>
      </w:r>
      <w:r>
        <w:t xml:space="preserve">и САО</w:t>
      </w:r>
      <w:r>
        <w:t xml:space="preserve"> </w:t>
      </w:r>
      <w:r>
        <w:rPr>
          <w:iCs/>
          <w:i/>
        </w:rPr>
        <w:t xml:space="preserve">(221 тыс. кв. м).</w:t>
      </w:r>
      <w:r>
        <w:t xml:space="preserve"> </w:t>
      </w:r>
      <w:r>
        <w:t xml:space="preserve">Однако четвертое место здесь уже занимает Восточный административный округ</w:t>
      </w:r>
      <w:r>
        <w:t xml:space="preserve"> </w:t>
      </w:r>
      <w:r>
        <w:rPr>
          <w:iCs/>
          <w:i/>
        </w:rPr>
        <w:t xml:space="preserve">(189 тыс. кв. м),</w:t>
      </w:r>
      <w:r>
        <w:t xml:space="preserve"> </w:t>
      </w:r>
      <w:r>
        <w:t xml:space="preserve">тогда как по числу поставленных на кадастровый учет домов он делит шестое место с ЮАО. Пятерку лидеров замыкает ЮЗАО, где площадь объектов по реновации составляет 172 тыс. квадратных метров.</w:t>
      </w:r>
    </w:p>
    <w:p>
      <w:pPr>
        <w:pStyle w:val="BodyText"/>
      </w:pPr>
      <w:r>
        <w:rPr>
          <w:iCs/>
          <w:i/>
        </w:rPr>
        <w:t xml:space="preserve">«С начала реализации в Москве программы обновления жилого фонда мы поставили на кадастровый учет почти 2 млн. квадратных метров недвижимости. Таким образом, ежегодно Управление учитывает 0,5 млн. квадратных метров жилья по программе реновации. В текущем году это почти 5 тыс. новых квартир для жителей города,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  <w:r>
        <w:t xml:space="preserve"> </w:t>
      </w:r>
      <w:r>
        <w:rPr>
          <w:iCs/>
          <w:i/>
        </w:rPr>
        <w:t xml:space="preserve">– Больше всего кадастровых номеров в этом году было присвоено домам по реновации, расположенным в ЮВАО – их шесть, далее следуют СВАО – пять МКД, а также САО и ВАО – по три дома».</w:t>
      </w:r>
    </w:p>
    <w:p>
      <w:pPr>
        <w:pStyle w:val="BodyText"/>
      </w:pPr>
      <w:r>
        <w:t xml:space="preserve">Программа реновации жилья реализуется в столице с 1 августа 2017 года. В настоящее время в нее включены 5 174 дома, адресный список состоит из 472 стартовых площадок. Всего в рамках ее реализации предусмотрено расселение свыше 350 тысяч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http://mitino.mos.ru/presscenter/important/detail/9537903.html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37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37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2025-04-09T03:33:01Z</dcterms:created>
  <dcterms:modified xsi:type="dcterms:W3CDTF">2025-04-09T03:33:01Z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