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c11c5c9ba401ba4d594ffe1e1c8e49669d663"/>
    <w:p>
      <w:pPr>
        <w:pStyle w:val="Heading3"/>
      </w:pPr>
      <w:r>
        <w:t xml:space="preserve">Жители Митино выбрали темы для встреч с главой управы района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Активные граждане Митина выбрали темы для встреч с главой управы в первом квартале 2015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района встречается с населением для обсуждения наиболее актуальных проблем каждую третью среду месяца. Повестку традиционных мероприятий в феврале и марте сформируют с учетом мнения горожан – участников опроса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онлайн-референдума, 45% жителей Митина проголосовали за обсуждение вопросов безопасности и общественного порядка на территории района. Оценить эффективность работы социальных служб (в том числе, в связи с пенсионной реформой) готовы более 21% граждан.О подготовке и проведении мероприятий к 70-летию Победы в Великой Отечественной войне хотели бы узнать 9% респондентов.А 14% предложили свои варианты. Большинство из них посвящены проблемам жилищно-коммунального хозяйства, пробкам возле торговых центров «Ковчег» и «Ладья», а также сохранению Митинского ландшафтного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http://mitino.mos.ru/presscenter/news/detail/1559181.html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59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59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2024-08-13T03:19:23Z</dcterms:created>
  <dcterms:modified xsi:type="dcterms:W3CDTF">2024-08-13T03:19:23Z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