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aecbbc140580264d1b5ae499df3a6ee28ef30"/>
    <w:p>
      <w:pPr>
        <w:pStyle w:val="Heading3"/>
      </w:pPr>
      <w:r>
        <w:t xml:space="preserve">"Спартак" может стать лучшим стадионом года</w:t>
      </w:r>
    </w:p>
    <w:p>
      <w:pPr>
        <w:pStyle w:val="FirstParagraph"/>
      </w:pPr>
      <w:r>
        <w:t xml:space="preserve">07.02.2015</w:t>
      </w:r>
    </w:p>
    <w:p>
      <w:pPr>
        <w:pStyle w:val="BodyText"/>
      </w:pPr>
      <w:r>
        <w:rPr>
          <w:bCs/>
          <w:b/>
        </w:rPr>
        <w:t xml:space="preserve">Стадион "Спартака" в Тушино может стать лучшим стадионом года. В список претендентов включены 32 стадиона по всему миру.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выберут в интернет-голосовании на сайте конкурса, а так же жюри, составленное из архитекторов, специализирующиеся на проектировании и строительстве спортивных сооружений.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Финалистов может быть два, если мнения голосующих интернет-пользователей и профессионального жюри не совпадут.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http://mitino.mos.ru/presscenter/news/detail/1567064.html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67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67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2024-09-02T04:00:56Z</dcterms:created>
  <dcterms:modified xsi:type="dcterms:W3CDTF">2024-09-02T04:00:56Z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